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00" w:type="dxa"/>
        <w:tblCellSpacing w:w="60" w:type="dxa"/>
        <w:tblInd w:w="130" w:type="dxa"/>
        <w:tblBorders>
          <w:top w:val="nil"/>
          <w:left w:val="nil"/>
          <w:bottom w:val="nil"/>
          <w:right w:val="nil"/>
          <w:insideH w:val="nil"/>
          <w:insideV w:val="nil"/>
        </w:tblBorders>
        <w:shd w:val="clear" w:color="auto" w:fill="E7F0F9"/>
        <w:tblCellMar>
          <w:left w:w="10" w:type="dxa"/>
          <w:right w:w="10" w:type="dxa"/>
        </w:tblCellMar>
        <w:tblLook w:val="0000" w:firstRow="0" w:lastRow="0" w:firstColumn="0" w:lastColumn="0" w:noHBand="0" w:noVBand="0"/>
      </w:tblPr>
      <w:tblGrid>
        <w:gridCol w:w="2254"/>
        <w:gridCol w:w="6746"/>
      </w:tblGrid>
      <w:tr w:rsidR="002660AA" w14:paraId="63AFFD72" w14:textId="77777777">
        <w:tblPrEx>
          <w:tblCellMar>
            <w:top w:w="0" w:type="dxa"/>
            <w:bottom w:w="0" w:type="dxa"/>
          </w:tblCellMar>
        </w:tblPrEx>
        <w:trPr>
          <w:tblCellSpacing w:w="60" w:type="dxa"/>
        </w:trPr>
        <w:tc>
          <w:tcPr>
            <w:tcW w:w="1200" w:type="pct"/>
            <w:shd w:val="clear" w:color="auto" w:fill="E7F0F9"/>
          </w:tcPr>
          <w:p w14:paraId="5C51095A" w14:textId="77777777" w:rsidR="002660AA" w:rsidRDefault="009B260F">
            <w:pPr>
              <w:spacing w:after="0" w:line="240" w:lineRule="auto"/>
            </w:pPr>
            <w:r>
              <w:rPr>
                <w:b/>
              </w:rPr>
              <w:t>RKP broj</w:t>
            </w:r>
          </w:p>
        </w:tc>
        <w:tc>
          <w:tcPr>
            <w:tcW w:w="0" w:type="auto"/>
            <w:shd w:val="clear" w:color="auto" w:fill="E7F0F9"/>
          </w:tcPr>
          <w:p w14:paraId="2BE0A1E8" w14:textId="77777777" w:rsidR="002660AA" w:rsidRDefault="009B260F">
            <w:pPr>
              <w:spacing w:after="0" w:line="240" w:lineRule="auto"/>
            </w:pPr>
            <w:r>
              <w:t>27940</w:t>
            </w:r>
          </w:p>
        </w:tc>
      </w:tr>
      <w:tr w:rsidR="002660AA" w14:paraId="124EEAFD" w14:textId="77777777">
        <w:tblPrEx>
          <w:tblCellMar>
            <w:top w:w="0" w:type="dxa"/>
            <w:bottom w:w="0" w:type="dxa"/>
          </w:tblCellMar>
        </w:tblPrEx>
        <w:trPr>
          <w:tblCellSpacing w:w="60" w:type="dxa"/>
        </w:trPr>
        <w:tc>
          <w:tcPr>
            <w:tcW w:w="1200" w:type="pct"/>
            <w:shd w:val="clear" w:color="auto" w:fill="E7F0F9"/>
          </w:tcPr>
          <w:p w14:paraId="719AF925" w14:textId="77777777" w:rsidR="002660AA" w:rsidRDefault="009B260F">
            <w:pPr>
              <w:spacing w:after="0" w:line="240" w:lineRule="auto"/>
            </w:pPr>
            <w:r>
              <w:rPr>
                <w:b/>
              </w:rPr>
              <w:t>Naziv obveznika</w:t>
            </w:r>
          </w:p>
        </w:tc>
        <w:tc>
          <w:tcPr>
            <w:tcW w:w="0" w:type="auto"/>
            <w:shd w:val="clear" w:color="auto" w:fill="E7F0F9"/>
          </w:tcPr>
          <w:p w14:paraId="6154EE82" w14:textId="77777777" w:rsidR="002660AA" w:rsidRDefault="009B260F">
            <w:pPr>
              <w:spacing w:after="0" w:line="240" w:lineRule="auto"/>
            </w:pPr>
            <w:r>
              <w:t>GRAD KOPRIVNICA</w:t>
            </w:r>
          </w:p>
        </w:tc>
      </w:tr>
      <w:tr w:rsidR="002660AA" w14:paraId="685CF162" w14:textId="77777777">
        <w:tblPrEx>
          <w:tblCellMar>
            <w:top w:w="0" w:type="dxa"/>
            <w:bottom w:w="0" w:type="dxa"/>
          </w:tblCellMar>
        </w:tblPrEx>
        <w:trPr>
          <w:tblCellSpacing w:w="60" w:type="dxa"/>
        </w:trPr>
        <w:tc>
          <w:tcPr>
            <w:tcW w:w="1200" w:type="pct"/>
            <w:shd w:val="clear" w:color="auto" w:fill="E7F0F9"/>
          </w:tcPr>
          <w:p w14:paraId="7899A5C0" w14:textId="77777777" w:rsidR="002660AA" w:rsidRDefault="009B260F">
            <w:pPr>
              <w:spacing w:after="0" w:line="240" w:lineRule="auto"/>
            </w:pPr>
            <w:r>
              <w:rPr>
                <w:b/>
              </w:rPr>
              <w:t>Razina</w:t>
            </w:r>
          </w:p>
        </w:tc>
        <w:tc>
          <w:tcPr>
            <w:tcW w:w="0" w:type="auto"/>
            <w:shd w:val="clear" w:color="auto" w:fill="E7F0F9"/>
          </w:tcPr>
          <w:p w14:paraId="3978BFA5" w14:textId="77777777" w:rsidR="002660AA" w:rsidRDefault="009B260F">
            <w:pPr>
              <w:spacing w:after="0" w:line="240" w:lineRule="auto"/>
            </w:pPr>
            <w:r>
              <w:t>22</w:t>
            </w:r>
          </w:p>
        </w:tc>
      </w:tr>
    </w:tbl>
    <w:p w14:paraId="50A531A4" w14:textId="77777777" w:rsidR="002660AA" w:rsidRDefault="009B260F">
      <w:r>
        <w:br/>
      </w:r>
    </w:p>
    <w:p w14:paraId="6C6E2FC6" w14:textId="77777777" w:rsidR="002660AA" w:rsidRDefault="009B260F">
      <w:pPr>
        <w:spacing w:line="240" w:lineRule="auto"/>
        <w:jc w:val="center"/>
      </w:pPr>
      <w:r>
        <w:rPr>
          <w:b/>
          <w:sz w:val="28"/>
        </w:rPr>
        <w:t>BILJEŠKE UZ FINANCIJSKE IZVJEŠTAJE</w:t>
      </w:r>
    </w:p>
    <w:p w14:paraId="5A2BBEE8" w14:textId="77777777" w:rsidR="002660AA" w:rsidRDefault="009B260F">
      <w:pPr>
        <w:spacing w:line="240" w:lineRule="auto"/>
        <w:jc w:val="center"/>
      </w:pPr>
      <w:r>
        <w:rPr>
          <w:b/>
          <w:sz w:val="28"/>
        </w:rPr>
        <w:t>ZA RAZDOBLJE</w:t>
      </w:r>
    </w:p>
    <w:p w14:paraId="5B47AD69" w14:textId="77777777" w:rsidR="002660AA" w:rsidRDefault="009B260F">
      <w:pPr>
        <w:spacing w:line="240" w:lineRule="auto"/>
        <w:jc w:val="center"/>
      </w:pPr>
      <w:r>
        <w:rPr>
          <w:b/>
          <w:sz w:val="28"/>
        </w:rPr>
        <w:t>I - XII 2025.</w:t>
      </w:r>
    </w:p>
    <w:p w14:paraId="67D47AE5" w14:textId="77777777" w:rsidR="002660AA" w:rsidRDefault="002660AA"/>
    <w:p w14:paraId="5D7B96A8" w14:textId="77777777" w:rsidR="002660AA" w:rsidRDefault="009B260F">
      <w:pPr>
        <w:keepNext/>
        <w:spacing w:line="240" w:lineRule="auto"/>
        <w:jc w:val="center"/>
      </w:pPr>
      <w:r>
        <w:rPr>
          <w:b/>
          <w:sz w:val="28"/>
        </w:rPr>
        <w:t>Izvještaj o prihodima i rashodima, primicima i izdacima</w:t>
      </w:r>
    </w:p>
    <w:p w14:paraId="694F8159" w14:textId="77777777" w:rsidR="002660AA" w:rsidRDefault="009B260F">
      <w:pPr>
        <w:keepNext/>
        <w:spacing w:line="240" w:lineRule="auto"/>
        <w:jc w:val="center"/>
      </w:pPr>
      <w:r>
        <w:rPr>
          <w:sz w:val="28"/>
        </w:rPr>
        <w:t>Bilješka 1.</w:t>
      </w:r>
    </w:p>
    <w:tbl>
      <w:tblPr>
        <w:tblW w:w="0" w:type="auto"/>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962758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A2216C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8D0121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153526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48DF77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55C52B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1DE54A8" w14:textId="77777777" w:rsidR="002660AA" w:rsidRDefault="009B260F">
            <w:pPr>
              <w:keepNext/>
              <w:keepLines/>
              <w:spacing w:after="0" w:line="240" w:lineRule="auto"/>
              <w:jc w:val="center"/>
            </w:pPr>
            <w:r>
              <w:rPr>
                <w:b/>
                <w:sz w:val="18"/>
              </w:rPr>
              <w:t>Indeks (%)</w:t>
            </w:r>
          </w:p>
        </w:tc>
      </w:tr>
      <w:tr w:rsidR="002660AA" w14:paraId="382EF6B4" w14:textId="77777777">
        <w:tblPrEx>
          <w:tblCellMar>
            <w:top w:w="0" w:type="dxa"/>
            <w:bottom w:w="0" w:type="dxa"/>
          </w:tblCellMar>
        </w:tblPrEx>
        <w:trPr>
          <w:cantSplit/>
          <w:trHeight w:val="560"/>
        </w:trPr>
        <w:tc>
          <w:tcPr>
            <w:tcW w:w="700" w:type="dxa"/>
            <w:tcMar>
              <w:top w:w="0" w:type="dxa"/>
              <w:bottom w:w="0" w:type="dxa"/>
            </w:tcMar>
            <w:vAlign w:val="center"/>
          </w:tcPr>
          <w:p w14:paraId="0143238C" w14:textId="77777777" w:rsidR="002660AA" w:rsidRDefault="009B260F">
            <w:pPr>
              <w:keepNext/>
              <w:keepLines/>
              <w:spacing w:after="0" w:line="240" w:lineRule="auto"/>
            </w:pPr>
            <w:r>
              <w:rPr>
                <w:sz w:val="18"/>
              </w:rPr>
              <w:t>6</w:t>
            </w:r>
          </w:p>
        </w:tc>
        <w:tc>
          <w:tcPr>
            <w:tcW w:w="3180" w:type="dxa"/>
            <w:tcMar>
              <w:top w:w="0" w:type="dxa"/>
              <w:bottom w:w="0" w:type="dxa"/>
            </w:tcMar>
            <w:vAlign w:val="center"/>
          </w:tcPr>
          <w:p w14:paraId="07B75621" w14:textId="77777777" w:rsidR="002660AA" w:rsidRDefault="009B260F">
            <w:pPr>
              <w:keepNext/>
              <w:keepLines/>
              <w:spacing w:after="0" w:line="240" w:lineRule="auto"/>
            </w:pPr>
            <w:r>
              <w:rPr>
                <w:sz w:val="18"/>
              </w:rPr>
              <w:t>PRIHODI POSLOVANJA (šifre 61+62+63+64+65+66+67+68)</w:t>
            </w:r>
          </w:p>
        </w:tc>
        <w:tc>
          <w:tcPr>
            <w:tcW w:w="700" w:type="dxa"/>
            <w:tcMar>
              <w:top w:w="0" w:type="dxa"/>
              <w:bottom w:w="0" w:type="dxa"/>
            </w:tcMar>
            <w:vAlign w:val="center"/>
          </w:tcPr>
          <w:p w14:paraId="1F6FE02C" w14:textId="77777777" w:rsidR="002660AA" w:rsidRDefault="009B260F">
            <w:pPr>
              <w:keepNext/>
              <w:keepLines/>
              <w:spacing w:after="0" w:line="240" w:lineRule="auto"/>
            </w:pPr>
            <w:r>
              <w:rPr>
                <w:sz w:val="18"/>
              </w:rPr>
              <w:t>6</w:t>
            </w:r>
          </w:p>
        </w:tc>
        <w:tc>
          <w:tcPr>
            <w:tcW w:w="1860" w:type="dxa"/>
            <w:tcMar>
              <w:top w:w="0" w:type="dxa"/>
              <w:bottom w:w="0" w:type="dxa"/>
            </w:tcMar>
            <w:vAlign w:val="center"/>
          </w:tcPr>
          <w:p w14:paraId="21F7AF19" w14:textId="77777777" w:rsidR="002660AA" w:rsidRDefault="009B260F">
            <w:pPr>
              <w:keepNext/>
              <w:keepLines/>
              <w:spacing w:after="0" w:line="240" w:lineRule="auto"/>
              <w:jc w:val="right"/>
            </w:pPr>
            <w:r>
              <w:rPr>
                <w:sz w:val="18"/>
              </w:rPr>
              <w:t>29.568.582,93</w:t>
            </w:r>
          </w:p>
        </w:tc>
        <w:tc>
          <w:tcPr>
            <w:tcW w:w="1860" w:type="dxa"/>
            <w:tcMar>
              <w:top w:w="0" w:type="dxa"/>
              <w:bottom w:w="0" w:type="dxa"/>
            </w:tcMar>
            <w:vAlign w:val="center"/>
          </w:tcPr>
          <w:p w14:paraId="36050945" w14:textId="77777777" w:rsidR="002660AA" w:rsidRDefault="009B260F">
            <w:pPr>
              <w:keepNext/>
              <w:keepLines/>
              <w:spacing w:after="0" w:line="240" w:lineRule="auto"/>
              <w:jc w:val="right"/>
            </w:pPr>
            <w:r>
              <w:rPr>
                <w:sz w:val="18"/>
              </w:rPr>
              <w:t>37.482.077,60</w:t>
            </w:r>
          </w:p>
        </w:tc>
        <w:tc>
          <w:tcPr>
            <w:tcW w:w="700" w:type="dxa"/>
            <w:tcMar>
              <w:top w:w="0" w:type="dxa"/>
              <w:bottom w:w="0" w:type="dxa"/>
            </w:tcMar>
            <w:vAlign w:val="center"/>
          </w:tcPr>
          <w:p w14:paraId="7A415A37" w14:textId="77777777" w:rsidR="002660AA" w:rsidRDefault="009B260F">
            <w:pPr>
              <w:keepNext/>
              <w:keepLines/>
              <w:spacing w:after="0" w:line="240" w:lineRule="auto"/>
              <w:jc w:val="right"/>
            </w:pPr>
            <w:r>
              <w:rPr>
                <w:sz w:val="18"/>
              </w:rPr>
              <w:t>126,8</w:t>
            </w:r>
          </w:p>
        </w:tc>
      </w:tr>
      <w:tr w:rsidR="002660AA" w14:paraId="1627559F" w14:textId="77777777">
        <w:tblPrEx>
          <w:tblCellMar>
            <w:top w:w="0" w:type="dxa"/>
            <w:bottom w:w="0" w:type="dxa"/>
          </w:tblCellMar>
        </w:tblPrEx>
        <w:trPr>
          <w:cantSplit/>
          <w:trHeight w:val="560"/>
        </w:trPr>
        <w:tc>
          <w:tcPr>
            <w:tcW w:w="700" w:type="dxa"/>
            <w:tcMar>
              <w:top w:w="0" w:type="dxa"/>
              <w:bottom w:w="0" w:type="dxa"/>
            </w:tcMar>
            <w:vAlign w:val="center"/>
          </w:tcPr>
          <w:p w14:paraId="7CBB21A4" w14:textId="77777777" w:rsidR="002660AA" w:rsidRDefault="009B260F">
            <w:pPr>
              <w:keepNext/>
              <w:keepLines/>
              <w:spacing w:after="0" w:line="240" w:lineRule="auto"/>
            </w:pPr>
            <w:r>
              <w:rPr>
                <w:sz w:val="18"/>
              </w:rPr>
              <w:t>3</w:t>
            </w:r>
          </w:p>
        </w:tc>
        <w:tc>
          <w:tcPr>
            <w:tcW w:w="3180" w:type="dxa"/>
            <w:tcMar>
              <w:top w:w="0" w:type="dxa"/>
              <w:bottom w:w="0" w:type="dxa"/>
            </w:tcMar>
            <w:vAlign w:val="center"/>
          </w:tcPr>
          <w:p w14:paraId="32069102" w14:textId="77777777" w:rsidR="002660AA" w:rsidRDefault="009B260F">
            <w:pPr>
              <w:keepNext/>
              <w:keepLines/>
              <w:spacing w:after="0" w:line="240" w:lineRule="auto"/>
            </w:pPr>
            <w:r>
              <w:rPr>
                <w:sz w:val="18"/>
              </w:rPr>
              <w:t>RASHODI POSLOVANJA (šifre 31+32+34+35+36+37+38)</w:t>
            </w:r>
          </w:p>
        </w:tc>
        <w:tc>
          <w:tcPr>
            <w:tcW w:w="700" w:type="dxa"/>
            <w:tcMar>
              <w:top w:w="0" w:type="dxa"/>
              <w:bottom w:w="0" w:type="dxa"/>
            </w:tcMar>
            <w:vAlign w:val="center"/>
          </w:tcPr>
          <w:p w14:paraId="40F5BA17" w14:textId="77777777" w:rsidR="002660AA" w:rsidRDefault="009B260F">
            <w:pPr>
              <w:keepNext/>
              <w:keepLines/>
              <w:spacing w:after="0" w:line="240" w:lineRule="auto"/>
            </w:pPr>
            <w:r>
              <w:rPr>
                <w:sz w:val="18"/>
              </w:rPr>
              <w:t>3</w:t>
            </w:r>
          </w:p>
        </w:tc>
        <w:tc>
          <w:tcPr>
            <w:tcW w:w="1860" w:type="dxa"/>
            <w:tcMar>
              <w:top w:w="0" w:type="dxa"/>
              <w:bottom w:w="0" w:type="dxa"/>
            </w:tcMar>
            <w:vAlign w:val="center"/>
          </w:tcPr>
          <w:p w14:paraId="2DF0DF52" w14:textId="77777777" w:rsidR="002660AA" w:rsidRDefault="009B260F">
            <w:pPr>
              <w:keepNext/>
              <w:keepLines/>
              <w:spacing w:after="0" w:line="240" w:lineRule="auto"/>
              <w:jc w:val="right"/>
            </w:pPr>
            <w:r>
              <w:rPr>
                <w:sz w:val="18"/>
              </w:rPr>
              <w:t>25.646.145,92</w:t>
            </w:r>
          </w:p>
        </w:tc>
        <w:tc>
          <w:tcPr>
            <w:tcW w:w="1860" w:type="dxa"/>
            <w:tcMar>
              <w:top w:w="0" w:type="dxa"/>
              <w:bottom w:w="0" w:type="dxa"/>
            </w:tcMar>
            <w:vAlign w:val="center"/>
          </w:tcPr>
          <w:p w14:paraId="0CB413E6" w14:textId="77777777" w:rsidR="002660AA" w:rsidRDefault="009B260F">
            <w:pPr>
              <w:keepNext/>
              <w:keepLines/>
              <w:spacing w:after="0" w:line="240" w:lineRule="auto"/>
              <w:jc w:val="right"/>
            </w:pPr>
            <w:r>
              <w:rPr>
                <w:sz w:val="18"/>
              </w:rPr>
              <w:t>34.032.432,88</w:t>
            </w:r>
          </w:p>
        </w:tc>
        <w:tc>
          <w:tcPr>
            <w:tcW w:w="700" w:type="dxa"/>
            <w:tcMar>
              <w:top w:w="0" w:type="dxa"/>
              <w:bottom w:w="0" w:type="dxa"/>
            </w:tcMar>
            <w:vAlign w:val="center"/>
          </w:tcPr>
          <w:p w14:paraId="736C207D" w14:textId="77777777" w:rsidR="002660AA" w:rsidRDefault="009B260F">
            <w:pPr>
              <w:keepNext/>
              <w:keepLines/>
              <w:spacing w:after="0" w:line="240" w:lineRule="auto"/>
              <w:jc w:val="right"/>
            </w:pPr>
            <w:r>
              <w:rPr>
                <w:sz w:val="18"/>
              </w:rPr>
              <w:t>132,7</w:t>
            </w:r>
          </w:p>
        </w:tc>
      </w:tr>
      <w:tr w:rsidR="002660AA" w14:paraId="57636933" w14:textId="77777777">
        <w:tblPrEx>
          <w:tblCellMar>
            <w:top w:w="0" w:type="dxa"/>
            <w:bottom w:w="0" w:type="dxa"/>
          </w:tblCellMar>
        </w:tblPrEx>
        <w:trPr>
          <w:cantSplit/>
          <w:trHeight w:val="560"/>
        </w:trPr>
        <w:tc>
          <w:tcPr>
            <w:tcW w:w="700" w:type="dxa"/>
            <w:tcMar>
              <w:top w:w="0" w:type="dxa"/>
              <w:bottom w:w="0" w:type="dxa"/>
            </w:tcMar>
            <w:vAlign w:val="center"/>
          </w:tcPr>
          <w:p w14:paraId="7E0C7220" w14:textId="77777777" w:rsidR="002660AA" w:rsidRDefault="002660AA">
            <w:pPr>
              <w:keepNext/>
              <w:keepLines/>
              <w:spacing w:after="0" w:line="240" w:lineRule="auto"/>
            </w:pPr>
          </w:p>
        </w:tc>
        <w:tc>
          <w:tcPr>
            <w:tcW w:w="3180" w:type="dxa"/>
            <w:tcMar>
              <w:top w:w="0" w:type="dxa"/>
              <w:bottom w:w="0" w:type="dxa"/>
            </w:tcMar>
            <w:vAlign w:val="center"/>
          </w:tcPr>
          <w:p w14:paraId="3E832CC3" w14:textId="77777777" w:rsidR="002660AA" w:rsidRDefault="009B260F">
            <w:pPr>
              <w:keepNext/>
              <w:keepLines/>
              <w:spacing w:after="0" w:line="240" w:lineRule="auto"/>
            </w:pPr>
            <w:r>
              <w:rPr>
                <w:b/>
                <w:sz w:val="18"/>
              </w:rPr>
              <w:t>VIŠAK PRIHODA POSLOVANJA (šifre 6-Z005)</w:t>
            </w:r>
          </w:p>
        </w:tc>
        <w:tc>
          <w:tcPr>
            <w:tcW w:w="700" w:type="dxa"/>
            <w:tcMar>
              <w:top w:w="0" w:type="dxa"/>
              <w:bottom w:w="0" w:type="dxa"/>
            </w:tcMar>
            <w:vAlign w:val="center"/>
          </w:tcPr>
          <w:p w14:paraId="4959077C" w14:textId="77777777" w:rsidR="002660AA" w:rsidRDefault="009B260F">
            <w:pPr>
              <w:keepNext/>
              <w:keepLines/>
              <w:spacing w:after="0" w:line="240" w:lineRule="auto"/>
            </w:pPr>
            <w:r>
              <w:rPr>
                <w:b/>
                <w:sz w:val="18"/>
              </w:rPr>
              <w:t>X001</w:t>
            </w:r>
          </w:p>
        </w:tc>
        <w:tc>
          <w:tcPr>
            <w:tcW w:w="1860" w:type="dxa"/>
            <w:tcMar>
              <w:top w:w="0" w:type="dxa"/>
              <w:bottom w:w="0" w:type="dxa"/>
            </w:tcMar>
            <w:vAlign w:val="center"/>
          </w:tcPr>
          <w:p w14:paraId="7781074C" w14:textId="77777777" w:rsidR="002660AA" w:rsidRDefault="009B260F">
            <w:pPr>
              <w:keepNext/>
              <w:keepLines/>
              <w:spacing w:after="0" w:line="240" w:lineRule="auto"/>
              <w:jc w:val="right"/>
            </w:pPr>
            <w:r>
              <w:rPr>
                <w:b/>
                <w:sz w:val="18"/>
              </w:rPr>
              <w:t>3.922.437,01</w:t>
            </w:r>
          </w:p>
        </w:tc>
        <w:tc>
          <w:tcPr>
            <w:tcW w:w="1860" w:type="dxa"/>
            <w:tcMar>
              <w:top w:w="0" w:type="dxa"/>
              <w:bottom w:w="0" w:type="dxa"/>
            </w:tcMar>
            <w:vAlign w:val="center"/>
          </w:tcPr>
          <w:p w14:paraId="2C01D3FD" w14:textId="77777777" w:rsidR="002660AA" w:rsidRDefault="009B260F">
            <w:pPr>
              <w:keepNext/>
              <w:keepLines/>
              <w:spacing w:after="0" w:line="240" w:lineRule="auto"/>
              <w:jc w:val="right"/>
            </w:pPr>
            <w:r>
              <w:rPr>
                <w:b/>
                <w:sz w:val="18"/>
              </w:rPr>
              <w:t>3.449.644,72</w:t>
            </w:r>
          </w:p>
        </w:tc>
        <w:tc>
          <w:tcPr>
            <w:tcW w:w="700" w:type="dxa"/>
            <w:tcMar>
              <w:top w:w="0" w:type="dxa"/>
              <w:bottom w:w="0" w:type="dxa"/>
            </w:tcMar>
            <w:vAlign w:val="center"/>
          </w:tcPr>
          <w:p w14:paraId="5D2E619B" w14:textId="77777777" w:rsidR="002660AA" w:rsidRDefault="009B260F">
            <w:pPr>
              <w:keepNext/>
              <w:keepLines/>
              <w:spacing w:after="0" w:line="240" w:lineRule="auto"/>
              <w:jc w:val="right"/>
            </w:pPr>
            <w:r>
              <w:rPr>
                <w:b/>
                <w:sz w:val="18"/>
              </w:rPr>
              <w:t>87,9</w:t>
            </w:r>
          </w:p>
        </w:tc>
      </w:tr>
      <w:tr w:rsidR="002660AA" w14:paraId="72C863D6" w14:textId="77777777">
        <w:tblPrEx>
          <w:tblCellMar>
            <w:top w:w="0" w:type="dxa"/>
            <w:bottom w:w="0" w:type="dxa"/>
          </w:tblCellMar>
        </w:tblPrEx>
        <w:trPr>
          <w:cantSplit/>
          <w:trHeight w:val="560"/>
        </w:trPr>
        <w:tc>
          <w:tcPr>
            <w:tcW w:w="700" w:type="dxa"/>
            <w:tcMar>
              <w:top w:w="0" w:type="dxa"/>
              <w:bottom w:w="0" w:type="dxa"/>
            </w:tcMar>
            <w:vAlign w:val="center"/>
          </w:tcPr>
          <w:p w14:paraId="1BC7A6F7" w14:textId="77777777" w:rsidR="002660AA" w:rsidRDefault="009B260F">
            <w:pPr>
              <w:keepNext/>
              <w:keepLines/>
              <w:spacing w:after="0" w:line="240" w:lineRule="auto"/>
            </w:pPr>
            <w:r>
              <w:rPr>
                <w:sz w:val="18"/>
              </w:rPr>
              <w:t>7</w:t>
            </w:r>
          </w:p>
        </w:tc>
        <w:tc>
          <w:tcPr>
            <w:tcW w:w="3180" w:type="dxa"/>
            <w:tcMar>
              <w:top w:w="0" w:type="dxa"/>
              <w:bottom w:w="0" w:type="dxa"/>
            </w:tcMar>
            <w:vAlign w:val="center"/>
          </w:tcPr>
          <w:p w14:paraId="555D189D" w14:textId="77777777" w:rsidR="002660AA" w:rsidRDefault="009B260F">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6F86126E" w14:textId="77777777" w:rsidR="002660AA" w:rsidRDefault="009B260F">
            <w:pPr>
              <w:keepNext/>
              <w:keepLines/>
              <w:spacing w:after="0" w:line="240" w:lineRule="auto"/>
            </w:pPr>
            <w:r>
              <w:rPr>
                <w:sz w:val="18"/>
              </w:rPr>
              <w:t>7</w:t>
            </w:r>
          </w:p>
        </w:tc>
        <w:tc>
          <w:tcPr>
            <w:tcW w:w="1860" w:type="dxa"/>
            <w:tcMar>
              <w:top w:w="0" w:type="dxa"/>
              <w:bottom w:w="0" w:type="dxa"/>
            </w:tcMar>
            <w:vAlign w:val="center"/>
          </w:tcPr>
          <w:p w14:paraId="057DE62C" w14:textId="77777777" w:rsidR="002660AA" w:rsidRDefault="009B260F">
            <w:pPr>
              <w:keepNext/>
              <w:keepLines/>
              <w:spacing w:after="0" w:line="240" w:lineRule="auto"/>
              <w:jc w:val="right"/>
            </w:pPr>
            <w:r>
              <w:rPr>
                <w:sz w:val="18"/>
              </w:rPr>
              <w:t>837.971,45</w:t>
            </w:r>
          </w:p>
        </w:tc>
        <w:tc>
          <w:tcPr>
            <w:tcW w:w="1860" w:type="dxa"/>
            <w:tcMar>
              <w:top w:w="0" w:type="dxa"/>
              <w:bottom w:w="0" w:type="dxa"/>
            </w:tcMar>
            <w:vAlign w:val="center"/>
          </w:tcPr>
          <w:p w14:paraId="49F3E227" w14:textId="77777777" w:rsidR="002660AA" w:rsidRDefault="009B260F">
            <w:pPr>
              <w:keepNext/>
              <w:keepLines/>
              <w:spacing w:after="0" w:line="240" w:lineRule="auto"/>
              <w:jc w:val="right"/>
            </w:pPr>
            <w:r>
              <w:rPr>
                <w:sz w:val="18"/>
              </w:rPr>
              <w:t>3.110.301,89</w:t>
            </w:r>
          </w:p>
        </w:tc>
        <w:tc>
          <w:tcPr>
            <w:tcW w:w="700" w:type="dxa"/>
            <w:tcMar>
              <w:top w:w="0" w:type="dxa"/>
              <w:bottom w:w="0" w:type="dxa"/>
            </w:tcMar>
            <w:vAlign w:val="center"/>
          </w:tcPr>
          <w:p w14:paraId="2C37C68A" w14:textId="77777777" w:rsidR="002660AA" w:rsidRDefault="009B260F">
            <w:pPr>
              <w:keepNext/>
              <w:keepLines/>
              <w:spacing w:after="0" w:line="240" w:lineRule="auto"/>
              <w:jc w:val="right"/>
            </w:pPr>
            <w:r>
              <w:rPr>
                <w:sz w:val="18"/>
              </w:rPr>
              <w:t>371,2</w:t>
            </w:r>
          </w:p>
        </w:tc>
      </w:tr>
      <w:tr w:rsidR="002660AA" w14:paraId="77BEA454" w14:textId="77777777">
        <w:tblPrEx>
          <w:tblCellMar>
            <w:top w:w="0" w:type="dxa"/>
            <w:bottom w:w="0" w:type="dxa"/>
          </w:tblCellMar>
        </w:tblPrEx>
        <w:trPr>
          <w:cantSplit/>
          <w:trHeight w:val="560"/>
        </w:trPr>
        <w:tc>
          <w:tcPr>
            <w:tcW w:w="700" w:type="dxa"/>
            <w:tcMar>
              <w:top w:w="0" w:type="dxa"/>
              <w:bottom w:w="0" w:type="dxa"/>
            </w:tcMar>
            <w:vAlign w:val="center"/>
          </w:tcPr>
          <w:p w14:paraId="0CAB026E" w14:textId="77777777" w:rsidR="002660AA" w:rsidRDefault="009B260F">
            <w:pPr>
              <w:keepNext/>
              <w:keepLines/>
              <w:spacing w:after="0" w:line="240" w:lineRule="auto"/>
            </w:pPr>
            <w:r>
              <w:rPr>
                <w:sz w:val="18"/>
              </w:rPr>
              <w:t>4</w:t>
            </w:r>
          </w:p>
        </w:tc>
        <w:tc>
          <w:tcPr>
            <w:tcW w:w="3180" w:type="dxa"/>
            <w:tcMar>
              <w:top w:w="0" w:type="dxa"/>
              <w:bottom w:w="0" w:type="dxa"/>
            </w:tcMar>
            <w:vAlign w:val="center"/>
          </w:tcPr>
          <w:p w14:paraId="1788E8D7" w14:textId="77777777" w:rsidR="002660AA" w:rsidRDefault="009B260F">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7A594064" w14:textId="77777777" w:rsidR="002660AA" w:rsidRDefault="009B260F">
            <w:pPr>
              <w:keepNext/>
              <w:keepLines/>
              <w:spacing w:after="0" w:line="240" w:lineRule="auto"/>
            </w:pPr>
            <w:r>
              <w:rPr>
                <w:sz w:val="18"/>
              </w:rPr>
              <w:t>4</w:t>
            </w:r>
          </w:p>
        </w:tc>
        <w:tc>
          <w:tcPr>
            <w:tcW w:w="1860" w:type="dxa"/>
            <w:tcMar>
              <w:top w:w="0" w:type="dxa"/>
              <w:bottom w:w="0" w:type="dxa"/>
            </w:tcMar>
            <w:vAlign w:val="center"/>
          </w:tcPr>
          <w:p w14:paraId="4D0836B0" w14:textId="77777777" w:rsidR="002660AA" w:rsidRDefault="009B260F">
            <w:pPr>
              <w:keepNext/>
              <w:keepLines/>
              <w:spacing w:after="0" w:line="240" w:lineRule="auto"/>
              <w:jc w:val="right"/>
            </w:pPr>
            <w:r>
              <w:rPr>
                <w:sz w:val="18"/>
              </w:rPr>
              <w:t>8.289.299,85</w:t>
            </w:r>
          </w:p>
        </w:tc>
        <w:tc>
          <w:tcPr>
            <w:tcW w:w="1860" w:type="dxa"/>
            <w:tcMar>
              <w:top w:w="0" w:type="dxa"/>
              <w:bottom w:w="0" w:type="dxa"/>
            </w:tcMar>
            <w:vAlign w:val="center"/>
          </w:tcPr>
          <w:p w14:paraId="4F26C93D" w14:textId="77777777" w:rsidR="002660AA" w:rsidRDefault="009B260F">
            <w:pPr>
              <w:keepNext/>
              <w:keepLines/>
              <w:spacing w:after="0" w:line="240" w:lineRule="auto"/>
              <w:jc w:val="right"/>
            </w:pPr>
            <w:r>
              <w:rPr>
                <w:sz w:val="18"/>
              </w:rPr>
              <w:t>23.704.416,50</w:t>
            </w:r>
          </w:p>
        </w:tc>
        <w:tc>
          <w:tcPr>
            <w:tcW w:w="700" w:type="dxa"/>
            <w:tcMar>
              <w:top w:w="0" w:type="dxa"/>
              <w:bottom w:w="0" w:type="dxa"/>
            </w:tcMar>
            <w:vAlign w:val="center"/>
          </w:tcPr>
          <w:p w14:paraId="1E03180E" w14:textId="77777777" w:rsidR="002660AA" w:rsidRDefault="009B260F">
            <w:pPr>
              <w:keepNext/>
              <w:keepLines/>
              <w:spacing w:after="0" w:line="240" w:lineRule="auto"/>
              <w:jc w:val="right"/>
            </w:pPr>
            <w:r>
              <w:rPr>
                <w:sz w:val="18"/>
              </w:rPr>
              <w:t>286,0</w:t>
            </w:r>
          </w:p>
        </w:tc>
      </w:tr>
      <w:tr w:rsidR="002660AA" w14:paraId="2082D452" w14:textId="77777777">
        <w:tblPrEx>
          <w:tblCellMar>
            <w:top w:w="0" w:type="dxa"/>
            <w:bottom w:w="0" w:type="dxa"/>
          </w:tblCellMar>
        </w:tblPrEx>
        <w:trPr>
          <w:cantSplit/>
          <w:trHeight w:val="560"/>
        </w:trPr>
        <w:tc>
          <w:tcPr>
            <w:tcW w:w="700" w:type="dxa"/>
            <w:tcMar>
              <w:top w:w="0" w:type="dxa"/>
              <w:bottom w:w="0" w:type="dxa"/>
            </w:tcMar>
            <w:vAlign w:val="center"/>
          </w:tcPr>
          <w:p w14:paraId="67B32326" w14:textId="77777777" w:rsidR="002660AA" w:rsidRDefault="002660AA">
            <w:pPr>
              <w:keepNext/>
              <w:keepLines/>
              <w:spacing w:after="0" w:line="240" w:lineRule="auto"/>
            </w:pPr>
          </w:p>
        </w:tc>
        <w:tc>
          <w:tcPr>
            <w:tcW w:w="3180" w:type="dxa"/>
            <w:tcMar>
              <w:top w:w="0" w:type="dxa"/>
              <w:bottom w:w="0" w:type="dxa"/>
            </w:tcMar>
            <w:vAlign w:val="center"/>
          </w:tcPr>
          <w:p w14:paraId="5E5853BA" w14:textId="77777777" w:rsidR="002660AA" w:rsidRDefault="009B260F">
            <w:pPr>
              <w:keepNext/>
              <w:keepLines/>
              <w:spacing w:after="0" w:line="240" w:lineRule="auto"/>
            </w:pPr>
            <w:r>
              <w:rPr>
                <w:b/>
                <w:sz w:val="18"/>
              </w:rPr>
              <w:t>MANJAK PRIHODA OD NEFINANCIJSKE IMOVINE (šifre 4-7)</w:t>
            </w:r>
          </w:p>
        </w:tc>
        <w:tc>
          <w:tcPr>
            <w:tcW w:w="700" w:type="dxa"/>
            <w:tcMar>
              <w:top w:w="0" w:type="dxa"/>
              <w:bottom w:w="0" w:type="dxa"/>
            </w:tcMar>
            <w:vAlign w:val="center"/>
          </w:tcPr>
          <w:p w14:paraId="7D90E820" w14:textId="77777777" w:rsidR="002660AA" w:rsidRDefault="009B260F">
            <w:pPr>
              <w:keepNext/>
              <w:keepLines/>
              <w:spacing w:after="0" w:line="240" w:lineRule="auto"/>
            </w:pPr>
            <w:r>
              <w:rPr>
                <w:b/>
                <w:sz w:val="18"/>
              </w:rPr>
              <w:t>Y002</w:t>
            </w:r>
          </w:p>
        </w:tc>
        <w:tc>
          <w:tcPr>
            <w:tcW w:w="1860" w:type="dxa"/>
            <w:tcMar>
              <w:top w:w="0" w:type="dxa"/>
              <w:bottom w:w="0" w:type="dxa"/>
            </w:tcMar>
            <w:vAlign w:val="center"/>
          </w:tcPr>
          <w:p w14:paraId="3B26007F" w14:textId="77777777" w:rsidR="002660AA" w:rsidRDefault="009B260F">
            <w:pPr>
              <w:keepNext/>
              <w:keepLines/>
              <w:spacing w:after="0" w:line="240" w:lineRule="auto"/>
              <w:jc w:val="right"/>
            </w:pPr>
            <w:r>
              <w:rPr>
                <w:b/>
                <w:sz w:val="18"/>
              </w:rPr>
              <w:t>7.451.328,40</w:t>
            </w:r>
          </w:p>
        </w:tc>
        <w:tc>
          <w:tcPr>
            <w:tcW w:w="1860" w:type="dxa"/>
            <w:tcMar>
              <w:top w:w="0" w:type="dxa"/>
              <w:bottom w:w="0" w:type="dxa"/>
            </w:tcMar>
            <w:vAlign w:val="center"/>
          </w:tcPr>
          <w:p w14:paraId="3BEDDF21" w14:textId="77777777" w:rsidR="002660AA" w:rsidRDefault="009B260F">
            <w:pPr>
              <w:keepNext/>
              <w:keepLines/>
              <w:spacing w:after="0" w:line="240" w:lineRule="auto"/>
              <w:jc w:val="right"/>
            </w:pPr>
            <w:r>
              <w:rPr>
                <w:b/>
                <w:sz w:val="18"/>
              </w:rPr>
              <w:t>20.594.114,61</w:t>
            </w:r>
          </w:p>
        </w:tc>
        <w:tc>
          <w:tcPr>
            <w:tcW w:w="700" w:type="dxa"/>
            <w:tcMar>
              <w:top w:w="0" w:type="dxa"/>
              <w:bottom w:w="0" w:type="dxa"/>
            </w:tcMar>
            <w:vAlign w:val="center"/>
          </w:tcPr>
          <w:p w14:paraId="2F95CA68" w14:textId="77777777" w:rsidR="002660AA" w:rsidRDefault="009B260F">
            <w:pPr>
              <w:keepNext/>
              <w:keepLines/>
              <w:spacing w:after="0" w:line="240" w:lineRule="auto"/>
              <w:jc w:val="right"/>
            </w:pPr>
            <w:r>
              <w:rPr>
                <w:b/>
                <w:sz w:val="18"/>
              </w:rPr>
              <w:t>276,4</w:t>
            </w:r>
          </w:p>
        </w:tc>
      </w:tr>
      <w:tr w:rsidR="002660AA" w14:paraId="380FC1AE" w14:textId="77777777">
        <w:tblPrEx>
          <w:tblCellMar>
            <w:top w:w="0" w:type="dxa"/>
            <w:bottom w:w="0" w:type="dxa"/>
          </w:tblCellMar>
        </w:tblPrEx>
        <w:trPr>
          <w:cantSplit/>
          <w:trHeight w:val="560"/>
        </w:trPr>
        <w:tc>
          <w:tcPr>
            <w:tcW w:w="700" w:type="dxa"/>
            <w:tcMar>
              <w:top w:w="0" w:type="dxa"/>
              <w:bottom w:w="0" w:type="dxa"/>
            </w:tcMar>
            <w:vAlign w:val="center"/>
          </w:tcPr>
          <w:p w14:paraId="56180DC7" w14:textId="77777777" w:rsidR="002660AA" w:rsidRDefault="009B260F">
            <w:pPr>
              <w:keepNext/>
              <w:keepLines/>
              <w:spacing w:after="0" w:line="240" w:lineRule="auto"/>
            </w:pPr>
            <w:r>
              <w:rPr>
                <w:sz w:val="18"/>
              </w:rPr>
              <w:t>8</w:t>
            </w:r>
          </w:p>
        </w:tc>
        <w:tc>
          <w:tcPr>
            <w:tcW w:w="3180" w:type="dxa"/>
            <w:tcMar>
              <w:top w:w="0" w:type="dxa"/>
              <w:bottom w:w="0" w:type="dxa"/>
            </w:tcMar>
            <w:vAlign w:val="center"/>
          </w:tcPr>
          <w:p w14:paraId="73D569C6" w14:textId="77777777" w:rsidR="002660AA" w:rsidRDefault="009B260F">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5D47D301" w14:textId="77777777" w:rsidR="002660AA" w:rsidRDefault="009B260F">
            <w:pPr>
              <w:keepNext/>
              <w:keepLines/>
              <w:spacing w:after="0" w:line="240" w:lineRule="auto"/>
            </w:pPr>
            <w:r>
              <w:rPr>
                <w:sz w:val="18"/>
              </w:rPr>
              <w:t>8</w:t>
            </w:r>
          </w:p>
        </w:tc>
        <w:tc>
          <w:tcPr>
            <w:tcW w:w="1860" w:type="dxa"/>
            <w:tcMar>
              <w:top w:w="0" w:type="dxa"/>
              <w:bottom w:w="0" w:type="dxa"/>
            </w:tcMar>
            <w:vAlign w:val="center"/>
          </w:tcPr>
          <w:p w14:paraId="2776B3CB" w14:textId="77777777" w:rsidR="002660AA" w:rsidRDefault="009B260F">
            <w:pPr>
              <w:keepNext/>
              <w:keepLines/>
              <w:spacing w:after="0" w:line="240" w:lineRule="auto"/>
              <w:jc w:val="right"/>
            </w:pPr>
            <w:r>
              <w:rPr>
                <w:sz w:val="18"/>
              </w:rPr>
              <w:t>1.613.041,89</w:t>
            </w:r>
          </w:p>
        </w:tc>
        <w:tc>
          <w:tcPr>
            <w:tcW w:w="1860" w:type="dxa"/>
            <w:tcMar>
              <w:top w:w="0" w:type="dxa"/>
              <w:bottom w:w="0" w:type="dxa"/>
            </w:tcMar>
            <w:vAlign w:val="center"/>
          </w:tcPr>
          <w:p w14:paraId="0FDC31D7" w14:textId="77777777" w:rsidR="002660AA" w:rsidRDefault="009B260F">
            <w:pPr>
              <w:keepNext/>
              <w:keepLines/>
              <w:spacing w:after="0" w:line="240" w:lineRule="auto"/>
              <w:jc w:val="right"/>
            </w:pPr>
            <w:r>
              <w:rPr>
                <w:sz w:val="18"/>
              </w:rPr>
              <w:t>10.314.382,55</w:t>
            </w:r>
          </w:p>
        </w:tc>
        <w:tc>
          <w:tcPr>
            <w:tcW w:w="700" w:type="dxa"/>
            <w:tcMar>
              <w:top w:w="0" w:type="dxa"/>
              <w:bottom w:w="0" w:type="dxa"/>
            </w:tcMar>
            <w:vAlign w:val="center"/>
          </w:tcPr>
          <w:p w14:paraId="0D70B656" w14:textId="77777777" w:rsidR="002660AA" w:rsidRDefault="009B260F">
            <w:pPr>
              <w:keepNext/>
              <w:keepLines/>
              <w:spacing w:after="0" w:line="240" w:lineRule="auto"/>
              <w:jc w:val="right"/>
            </w:pPr>
            <w:r>
              <w:rPr>
                <w:sz w:val="18"/>
              </w:rPr>
              <w:t>639,4</w:t>
            </w:r>
          </w:p>
        </w:tc>
      </w:tr>
      <w:tr w:rsidR="002660AA" w14:paraId="5D091C7E" w14:textId="77777777">
        <w:tblPrEx>
          <w:tblCellMar>
            <w:top w:w="0" w:type="dxa"/>
            <w:bottom w:w="0" w:type="dxa"/>
          </w:tblCellMar>
        </w:tblPrEx>
        <w:trPr>
          <w:cantSplit/>
          <w:trHeight w:val="560"/>
        </w:trPr>
        <w:tc>
          <w:tcPr>
            <w:tcW w:w="700" w:type="dxa"/>
            <w:tcMar>
              <w:top w:w="0" w:type="dxa"/>
              <w:bottom w:w="0" w:type="dxa"/>
            </w:tcMar>
            <w:vAlign w:val="center"/>
          </w:tcPr>
          <w:p w14:paraId="4F861224" w14:textId="77777777" w:rsidR="002660AA" w:rsidRDefault="009B260F">
            <w:pPr>
              <w:keepNext/>
              <w:keepLines/>
              <w:spacing w:after="0" w:line="240" w:lineRule="auto"/>
            </w:pPr>
            <w:r>
              <w:rPr>
                <w:sz w:val="18"/>
              </w:rPr>
              <w:t>5</w:t>
            </w:r>
          </w:p>
        </w:tc>
        <w:tc>
          <w:tcPr>
            <w:tcW w:w="3180" w:type="dxa"/>
            <w:tcMar>
              <w:top w:w="0" w:type="dxa"/>
              <w:bottom w:w="0" w:type="dxa"/>
            </w:tcMar>
            <w:vAlign w:val="center"/>
          </w:tcPr>
          <w:p w14:paraId="6572D86D" w14:textId="77777777" w:rsidR="002660AA" w:rsidRDefault="009B260F">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01E5B647" w14:textId="77777777" w:rsidR="002660AA" w:rsidRDefault="009B260F">
            <w:pPr>
              <w:keepNext/>
              <w:keepLines/>
              <w:spacing w:after="0" w:line="240" w:lineRule="auto"/>
            </w:pPr>
            <w:r>
              <w:rPr>
                <w:sz w:val="18"/>
              </w:rPr>
              <w:t>5</w:t>
            </w:r>
          </w:p>
        </w:tc>
        <w:tc>
          <w:tcPr>
            <w:tcW w:w="1860" w:type="dxa"/>
            <w:tcMar>
              <w:top w:w="0" w:type="dxa"/>
              <w:bottom w:w="0" w:type="dxa"/>
            </w:tcMar>
            <w:vAlign w:val="center"/>
          </w:tcPr>
          <w:p w14:paraId="648E6BC0" w14:textId="77777777" w:rsidR="002660AA" w:rsidRDefault="009B260F">
            <w:pPr>
              <w:keepNext/>
              <w:keepLines/>
              <w:spacing w:after="0" w:line="240" w:lineRule="auto"/>
              <w:jc w:val="right"/>
            </w:pPr>
            <w:r>
              <w:rPr>
                <w:sz w:val="18"/>
              </w:rPr>
              <w:t>2.738.230,18</w:t>
            </w:r>
          </w:p>
        </w:tc>
        <w:tc>
          <w:tcPr>
            <w:tcW w:w="1860" w:type="dxa"/>
            <w:tcMar>
              <w:top w:w="0" w:type="dxa"/>
              <w:bottom w:w="0" w:type="dxa"/>
            </w:tcMar>
            <w:vAlign w:val="center"/>
          </w:tcPr>
          <w:p w14:paraId="46C89A2A" w14:textId="77777777" w:rsidR="002660AA" w:rsidRDefault="009B260F">
            <w:pPr>
              <w:keepNext/>
              <w:keepLines/>
              <w:spacing w:after="0" w:line="240" w:lineRule="auto"/>
              <w:jc w:val="right"/>
            </w:pPr>
            <w:r>
              <w:rPr>
                <w:sz w:val="18"/>
              </w:rPr>
              <w:t>1.293.851,40</w:t>
            </w:r>
          </w:p>
        </w:tc>
        <w:tc>
          <w:tcPr>
            <w:tcW w:w="700" w:type="dxa"/>
            <w:tcMar>
              <w:top w:w="0" w:type="dxa"/>
              <w:bottom w:w="0" w:type="dxa"/>
            </w:tcMar>
            <w:vAlign w:val="center"/>
          </w:tcPr>
          <w:p w14:paraId="18CF1FF1" w14:textId="77777777" w:rsidR="002660AA" w:rsidRDefault="009B260F">
            <w:pPr>
              <w:keepNext/>
              <w:keepLines/>
              <w:spacing w:after="0" w:line="240" w:lineRule="auto"/>
              <w:jc w:val="right"/>
            </w:pPr>
            <w:r>
              <w:rPr>
                <w:sz w:val="18"/>
              </w:rPr>
              <w:t>47,3</w:t>
            </w:r>
          </w:p>
        </w:tc>
      </w:tr>
      <w:tr w:rsidR="002660AA" w14:paraId="0D484F4C" w14:textId="77777777">
        <w:tblPrEx>
          <w:tblCellMar>
            <w:top w:w="0" w:type="dxa"/>
            <w:bottom w:w="0" w:type="dxa"/>
          </w:tblCellMar>
        </w:tblPrEx>
        <w:trPr>
          <w:cantSplit/>
          <w:trHeight w:val="560"/>
        </w:trPr>
        <w:tc>
          <w:tcPr>
            <w:tcW w:w="700" w:type="dxa"/>
            <w:tcMar>
              <w:top w:w="0" w:type="dxa"/>
              <w:bottom w:w="0" w:type="dxa"/>
            </w:tcMar>
            <w:vAlign w:val="center"/>
          </w:tcPr>
          <w:p w14:paraId="4196F39A" w14:textId="77777777" w:rsidR="002660AA" w:rsidRDefault="002660AA">
            <w:pPr>
              <w:keepNext/>
              <w:keepLines/>
              <w:spacing w:after="0" w:line="240" w:lineRule="auto"/>
            </w:pPr>
          </w:p>
        </w:tc>
        <w:tc>
          <w:tcPr>
            <w:tcW w:w="3180" w:type="dxa"/>
            <w:tcMar>
              <w:top w:w="0" w:type="dxa"/>
              <w:bottom w:w="0" w:type="dxa"/>
            </w:tcMar>
            <w:vAlign w:val="center"/>
          </w:tcPr>
          <w:p w14:paraId="570C2F04" w14:textId="77777777" w:rsidR="002660AA" w:rsidRDefault="009B260F">
            <w:pPr>
              <w:keepNext/>
              <w:keepLines/>
              <w:spacing w:after="0" w:line="240" w:lineRule="auto"/>
            </w:pPr>
            <w:r>
              <w:rPr>
                <w:b/>
                <w:sz w:val="18"/>
              </w:rPr>
              <w:t>VIŠAK PRIMITAKA OD FINANCIJSKE IMOVINE I ZADUŽIVANJA (šifre 8-5)</w:t>
            </w:r>
          </w:p>
        </w:tc>
        <w:tc>
          <w:tcPr>
            <w:tcW w:w="700" w:type="dxa"/>
            <w:tcMar>
              <w:top w:w="0" w:type="dxa"/>
              <w:bottom w:w="0" w:type="dxa"/>
            </w:tcMar>
            <w:vAlign w:val="center"/>
          </w:tcPr>
          <w:p w14:paraId="09747EA7" w14:textId="77777777" w:rsidR="002660AA" w:rsidRDefault="009B260F">
            <w:pPr>
              <w:keepNext/>
              <w:keepLines/>
              <w:spacing w:after="0" w:line="240" w:lineRule="auto"/>
            </w:pPr>
            <w:r>
              <w:rPr>
                <w:b/>
                <w:sz w:val="18"/>
              </w:rPr>
              <w:t>X003</w:t>
            </w:r>
          </w:p>
        </w:tc>
        <w:tc>
          <w:tcPr>
            <w:tcW w:w="1860" w:type="dxa"/>
            <w:tcMar>
              <w:top w:w="0" w:type="dxa"/>
              <w:bottom w:w="0" w:type="dxa"/>
            </w:tcMar>
            <w:vAlign w:val="center"/>
          </w:tcPr>
          <w:p w14:paraId="552B8A1C" w14:textId="77777777" w:rsidR="002660AA" w:rsidRDefault="009B260F">
            <w:pPr>
              <w:keepNext/>
              <w:keepLines/>
              <w:spacing w:after="0" w:line="240" w:lineRule="auto"/>
              <w:jc w:val="right"/>
            </w:pPr>
            <w:r>
              <w:rPr>
                <w:b/>
                <w:sz w:val="18"/>
              </w:rPr>
              <w:t>0,00</w:t>
            </w:r>
          </w:p>
        </w:tc>
        <w:tc>
          <w:tcPr>
            <w:tcW w:w="1860" w:type="dxa"/>
            <w:tcMar>
              <w:top w:w="0" w:type="dxa"/>
              <w:bottom w:w="0" w:type="dxa"/>
            </w:tcMar>
            <w:vAlign w:val="center"/>
          </w:tcPr>
          <w:p w14:paraId="025E2BEB" w14:textId="77777777" w:rsidR="002660AA" w:rsidRDefault="009B260F">
            <w:pPr>
              <w:keepNext/>
              <w:keepLines/>
              <w:spacing w:after="0" w:line="240" w:lineRule="auto"/>
              <w:jc w:val="right"/>
            </w:pPr>
            <w:r>
              <w:rPr>
                <w:b/>
                <w:sz w:val="18"/>
              </w:rPr>
              <w:t>9.020.531,15</w:t>
            </w:r>
          </w:p>
        </w:tc>
        <w:tc>
          <w:tcPr>
            <w:tcW w:w="700" w:type="dxa"/>
            <w:tcMar>
              <w:top w:w="0" w:type="dxa"/>
              <w:bottom w:w="0" w:type="dxa"/>
            </w:tcMar>
            <w:vAlign w:val="center"/>
          </w:tcPr>
          <w:p w14:paraId="71C77E61" w14:textId="77777777" w:rsidR="002660AA" w:rsidRDefault="009B260F">
            <w:pPr>
              <w:keepNext/>
              <w:keepLines/>
              <w:spacing w:after="0" w:line="240" w:lineRule="auto"/>
              <w:jc w:val="right"/>
            </w:pPr>
            <w:r>
              <w:rPr>
                <w:b/>
                <w:sz w:val="18"/>
              </w:rPr>
              <w:t>-</w:t>
            </w:r>
          </w:p>
        </w:tc>
      </w:tr>
      <w:tr w:rsidR="002660AA" w14:paraId="16A5A640" w14:textId="77777777">
        <w:tblPrEx>
          <w:tblCellMar>
            <w:top w:w="0" w:type="dxa"/>
            <w:bottom w:w="0" w:type="dxa"/>
          </w:tblCellMar>
        </w:tblPrEx>
        <w:trPr>
          <w:cantSplit/>
          <w:trHeight w:val="560"/>
        </w:trPr>
        <w:tc>
          <w:tcPr>
            <w:tcW w:w="700" w:type="dxa"/>
            <w:tcMar>
              <w:top w:w="0" w:type="dxa"/>
              <w:bottom w:w="0" w:type="dxa"/>
            </w:tcMar>
            <w:vAlign w:val="center"/>
          </w:tcPr>
          <w:p w14:paraId="2A16CAFC" w14:textId="77777777" w:rsidR="002660AA" w:rsidRDefault="002660AA">
            <w:pPr>
              <w:keepNext/>
              <w:keepLines/>
              <w:spacing w:after="0" w:line="240" w:lineRule="auto"/>
            </w:pPr>
          </w:p>
        </w:tc>
        <w:tc>
          <w:tcPr>
            <w:tcW w:w="3180" w:type="dxa"/>
            <w:tcMar>
              <w:top w:w="0" w:type="dxa"/>
              <w:bottom w:w="0" w:type="dxa"/>
            </w:tcMar>
            <w:vAlign w:val="center"/>
          </w:tcPr>
          <w:p w14:paraId="4775FE1D" w14:textId="77777777" w:rsidR="002660AA" w:rsidRDefault="009B260F">
            <w:pPr>
              <w:keepNext/>
              <w:keepLines/>
              <w:spacing w:after="0" w:line="240" w:lineRule="auto"/>
            </w:pPr>
            <w:r>
              <w:rPr>
                <w:b/>
                <w:sz w:val="18"/>
              </w:rPr>
              <w:t>MANJAK PRIHODA I PRIMITAKA (šifre Y345-X678)</w:t>
            </w:r>
          </w:p>
        </w:tc>
        <w:tc>
          <w:tcPr>
            <w:tcW w:w="700" w:type="dxa"/>
            <w:tcMar>
              <w:top w:w="0" w:type="dxa"/>
              <w:bottom w:w="0" w:type="dxa"/>
            </w:tcMar>
            <w:vAlign w:val="center"/>
          </w:tcPr>
          <w:p w14:paraId="14A26CD7" w14:textId="77777777" w:rsidR="002660AA" w:rsidRDefault="009B260F">
            <w:pPr>
              <w:keepNext/>
              <w:keepLines/>
              <w:spacing w:after="0" w:line="240" w:lineRule="auto"/>
            </w:pPr>
            <w:r>
              <w:rPr>
                <w:b/>
                <w:sz w:val="18"/>
              </w:rPr>
              <w:t>Y005</w:t>
            </w:r>
          </w:p>
        </w:tc>
        <w:tc>
          <w:tcPr>
            <w:tcW w:w="1860" w:type="dxa"/>
            <w:tcMar>
              <w:top w:w="0" w:type="dxa"/>
              <w:bottom w:w="0" w:type="dxa"/>
            </w:tcMar>
            <w:vAlign w:val="center"/>
          </w:tcPr>
          <w:p w14:paraId="36362077" w14:textId="77777777" w:rsidR="002660AA" w:rsidRDefault="009B260F">
            <w:pPr>
              <w:keepNext/>
              <w:keepLines/>
              <w:spacing w:after="0" w:line="240" w:lineRule="auto"/>
              <w:jc w:val="right"/>
            </w:pPr>
            <w:r>
              <w:rPr>
                <w:b/>
                <w:sz w:val="18"/>
              </w:rPr>
              <w:t>4.654.079,68</w:t>
            </w:r>
          </w:p>
        </w:tc>
        <w:tc>
          <w:tcPr>
            <w:tcW w:w="1860" w:type="dxa"/>
            <w:tcMar>
              <w:top w:w="0" w:type="dxa"/>
              <w:bottom w:w="0" w:type="dxa"/>
            </w:tcMar>
            <w:vAlign w:val="center"/>
          </w:tcPr>
          <w:p w14:paraId="55883D16" w14:textId="77777777" w:rsidR="002660AA" w:rsidRDefault="009B260F">
            <w:pPr>
              <w:keepNext/>
              <w:keepLines/>
              <w:spacing w:after="0" w:line="240" w:lineRule="auto"/>
              <w:jc w:val="right"/>
            </w:pPr>
            <w:r>
              <w:rPr>
                <w:b/>
                <w:sz w:val="18"/>
              </w:rPr>
              <w:t>8.123.938,74</w:t>
            </w:r>
          </w:p>
        </w:tc>
        <w:tc>
          <w:tcPr>
            <w:tcW w:w="700" w:type="dxa"/>
            <w:tcMar>
              <w:top w:w="0" w:type="dxa"/>
              <w:bottom w:w="0" w:type="dxa"/>
            </w:tcMar>
            <w:vAlign w:val="center"/>
          </w:tcPr>
          <w:p w14:paraId="669C563F" w14:textId="77777777" w:rsidR="002660AA" w:rsidRDefault="009B260F">
            <w:pPr>
              <w:keepNext/>
              <w:keepLines/>
              <w:spacing w:after="0" w:line="240" w:lineRule="auto"/>
              <w:jc w:val="right"/>
            </w:pPr>
            <w:r>
              <w:rPr>
                <w:b/>
                <w:sz w:val="18"/>
              </w:rPr>
              <w:t>174,6</w:t>
            </w:r>
          </w:p>
        </w:tc>
      </w:tr>
    </w:tbl>
    <w:p w14:paraId="6BE7A649" w14:textId="77777777" w:rsidR="002660AA" w:rsidRDefault="002660AA">
      <w:pPr>
        <w:spacing w:after="0"/>
      </w:pPr>
    </w:p>
    <w:p w14:paraId="30E331D6" w14:textId="77777777" w:rsidR="002660AA" w:rsidRDefault="009B260F">
      <w:r>
        <w:rPr>
          <w:b/>
        </w:rPr>
        <w:t>PRIHODI POSLOVANJA</w:t>
      </w:r>
      <w:r>
        <w:t xml:space="preserve"> (šifra 6) za razdoblje 2025-12 ostvareni su u iznosu od 37.482.077,60 EUR što je 27% više nego u istom razdoblju prethodne godine. Rezultat toga su povećanje prihoda od poreza, uplate pomoći iz drugih proračuna za predsjedničke izbore, povećane su i uplate za program javnih radova HZZ, a veliki rast prihoda vidljiv je i na tekućim i kapitalnim pomoćima za projekte CCSI4CCSI, Prilagođavanje klimatskim promjenama - projekt izgradnje pješačko biciklističke staze Draganovec- Štaglinec, izgradnju </w:t>
      </w:r>
      <w:r>
        <w:lastRenderedPageBreak/>
        <w:t>pješačko bicik</w:t>
      </w:r>
      <w:r>
        <w:t>lističke staze u Cvjetnoj ulici, NPOO projekata, ITU tehnička pomoć, izgradnju novog dječjeg vrtića, rekonstrukciju Sinagoge, dogradnje OŠ Braće Radić, izgradnju Sortirnice Herešin te za strategiju zelene urbane obnove Grada Koprivnice. Osim toga, povećani su prihodi od naknada za koncesiju zbog podmirenja dugovanja iz prethodne godine, povećanje prihoda od zakupa i ostali prihodi zbog povrata komunalnog doprinosa koji je bio predmet sudskog spora, dok su evidentirani manji prihodi od prihoda od kamata na o</w:t>
      </w:r>
      <w:r>
        <w:t>ročena sredstva, prihoda od upravnih i administrativnih pristojbi i ostalih kazni.</w:t>
      </w:r>
    </w:p>
    <w:p w14:paraId="16FBA733" w14:textId="77777777" w:rsidR="002660AA" w:rsidRDefault="009B260F">
      <w:r>
        <w:rPr>
          <w:b/>
        </w:rPr>
        <w:t>RASHODI POSLOVANJA</w:t>
      </w:r>
      <w:r>
        <w:t xml:space="preserve"> (šifra 3) za razdoblje 2025-12 ostvareni su u iznosu 34.032.432,88 EUR što je 32,70% više nego u istom razdoblju prethodne godine. Rezultat toga je porast rashoda za zaposlene, porast rashoda za službena putovanja i stručna usavršavanja zaposlenika te porast materijalnih rashoda sukladno porastu cijena na tržištu, nabave opreme, dok se povećani rashodi za usluge tekućeg i investicijskog održavanje odnose na godišnje održavanje nerazvrstanih cesta, troškove najamnine gimnazije, provođenje aktivnosti u sklop</w:t>
      </w:r>
      <w:r>
        <w:t>u EU projekata te usluge zaštite magistralnog vodovoda. Isto tako povećani su rashodi za provođenje predsjedničkih i lokalnih izbora, povećanja naknada za odlaganje otpada, subvencije temeljem javnog poziva za dodjelu potpora male vrijednosti koji prethodne godine nije proveden, povećani su i iznosi prijenosa između proračunskih korisnika zbog porasta plaća zaposlenicima čije se plaće isplaćuju iz gradskog proračuna ili u sklopu projekata. Povećane su i naknade građanima i kućanstvima za novorođenčad, dariv</w:t>
      </w:r>
      <w:r>
        <w:t>anje osoba sa invaliditetom te fiskalnu održivost privatnim dječjim vrtićima. Kapitalne donacije povećane su zbog izgradnje spremišta DV Jagnjedovec.</w:t>
      </w:r>
    </w:p>
    <w:p w14:paraId="4F4A1BCE" w14:textId="77777777" w:rsidR="002660AA" w:rsidRDefault="009B260F">
      <w:r>
        <w:rPr>
          <w:b/>
        </w:rPr>
        <w:t>PRIHODI OD PRODAJE NEFINANCIJSKE IMOVINE</w:t>
      </w:r>
      <w:r>
        <w:t xml:space="preserve"> (šifra 7) za razdoblje 2025-12 ostvareni su u iznosu od 3.110.301,89 EUR što je 270% više u odnosu na prethodnu godinu. Povećanje prihoda odnosi se na veći broj realiziranih prodaja zemljišta i nematerijalne imovine ali su smanjeni prihodi od prodaje stambenih objekata.</w:t>
      </w:r>
    </w:p>
    <w:p w14:paraId="6919843A" w14:textId="77777777" w:rsidR="002660AA" w:rsidRDefault="009B260F">
      <w:r>
        <w:rPr>
          <w:b/>
        </w:rPr>
        <w:t>RASHODI ZA NABAVU NEFINANCIJSKE IMOVINE</w:t>
      </w:r>
      <w:r>
        <w:t xml:space="preserve"> (šifra 4) za razdoblje 2025-12 ostvareni su u iznosu od 23.704.416,50 EUR što je 186% više u odnosu na prethodnu godinu. Povećanje rashoda odnosi se na troškove izgradnje novog dječjeg vrtića, početak dogradnje OŠ Braće Radić, energetsku obnovu OŠ Đuro Ester, izgradnje i opremanja Sortirnice, rekonstrukcije Sinagoge, izgrađeni novi rotor i pješačko-biciklističku stazu Štaglinec - Draganovec, rekonstrukcije i infrastrukture u ulicama. Osim toga, povećali su se i rashodi za nabavu novih prijenosnih računala,</w:t>
      </w:r>
      <w:r>
        <w:t xml:space="preserve"> tableta, mobitela, evakuacijske stolice, klima uređaja ali i nabavu osobnog vozila (ošasna imovina). Kod dodatnih ulaganja povećani su rashodi zbog rekonstrukcije postojeće zgrade u sklopu Znanstveno inovacijskog parka - ITU. Smanjenje rashoda je vidljivo kod kupovine zemljišta. </w:t>
      </w:r>
    </w:p>
    <w:p w14:paraId="12F28F79" w14:textId="77777777" w:rsidR="002660AA" w:rsidRDefault="009B260F">
      <w:r>
        <w:rPr>
          <w:b/>
        </w:rPr>
        <w:t>PRIMICI OD FINANCIJSKE IMOVINE I ZADUŽIVANJA</w:t>
      </w:r>
      <w:r>
        <w:t xml:space="preserve"> (šifra 8) za razdoblje 2025-12 ostvareni su u iznosu od 10.314.382,55 EUR što je 539% više u odnosu na prethodnu godinu. Rezultat povećanja je ugovaranje kratkoročnog kredita u PBZ radi premošćivanja jaza u likvidnosti i dva dugoročna kredita HBOR za izgradnju DV Bajer i Sortirnice Herešin.</w:t>
      </w:r>
    </w:p>
    <w:p w14:paraId="7E76C5BB" w14:textId="77777777" w:rsidR="002660AA" w:rsidRDefault="009B260F">
      <w:r>
        <w:rPr>
          <w:b/>
        </w:rPr>
        <w:lastRenderedPageBreak/>
        <w:t>IZDACI ZA FINANCIJSKU IMOVINU I OTPLATE ZAJMOVA</w:t>
      </w:r>
      <w:r>
        <w:t xml:space="preserve"> (šifra 5) za razdoblje 2025-12 ostvareni su u iznosu od 1.293.851,40 EUR što je 47% više u odnosu na prethodnu godinu. Rezultat povećanja su povećani iznosi za isplatu stipendija.</w:t>
      </w:r>
    </w:p>
    <w:p w14:paraId="2D8CA0A7" w14:textId="77777777" w:rsidR="002660AA" w:rsidRDefault="009B260F">
      <w:r>
        <w:t>U odnosu na isto razdoblje u prethodnoj godini bilježi se povećanje i prihoda i rashoda. Povećanje rashoda je najvećim dijelom zbog intenzivnog ciklusa kapitalnih investicija. Potraživanja po ugovorima o dodijeljenim bespovratnim sredstvima iz EU fondova evidentirani su u iznosu od 25.719.000,59 EUR, dok iznos od 4.967.103,22 EUR na Obvezama za EU predujmove predstavlja uplate predujmova koji se mogu priznati u prihod tek po odobrenim Zahtjevima za nadoknadu sredstava a sukladno novom Pravilniku o proračuns</w:t>
      </w:r>
      <w:r>
        <w:t>kom računovodstvu. </w:t>
      </w:r>
    </w:p>
    <w:p w14:paraId="06FBFB1E" w14:textId="77777777" w:rsidR="002660AA" w:rsidRDefault="009B260F">
      <w:r>
        <w:t>Manjak prihoda i primitaka iznosi 8.123.938,74 EUR a zajedno sa prenesenim manjkom iz 2024. i korigiranim u 2025. godini u iznosu od 880.899,18 EUR, ukupni manjak prihoda i primitaka za pokriće u slijedećem razdoblju iznosi 9.004.837,92 EUR.</w:t>
      </w:r>
    </w:p>
    <w:p w14:paraId="0BDD5637" w14:textId="77777777" w:rsidR="002660AA" w:rsidRDefault="009B260F">
      <w:r>
        <w:br/>
      </w:r>
    </w:p>
    <w:p w14:paraId="454124D1" w14:textId="77777777" w:rsidR="002660AA" w:rsidRDefault="009B260F">
      <w:pPr>
        <w:keepNext/>
        <w:spacing w:line="240" w:lineRule="auto"/>
        <w:jc w:val="center"/>
      </w:pPr>
      <w:r>
        <w:rPr>
          <w:sz w:val="28"/>
        </w:rPr>
        <w:t>Bilješka 2.</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15D194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F2E3F8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C48744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2A1142A"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88F89B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5A21D8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75274F2" w14:textId="77777777" w:rsidR="002660AA" w:rsidRDefault="009B260F">
            <w:pPr>
              <w:keepNext/>
              <w:keepLines/>
              <w:spacing w:after="0" w:line="240" w:lineRule="auto"/>
              <w:jc w:val="center"/>
            </w:pPr>
            <w:r>
              <w:rPr>
                <w:b/>
                <w:sz w:val="18"/>
              </w:rPr>
              <w:t>Indeks (%)</w:t>
            </w:r>
          </w:p>
        </w:tc>
      </w:tr>
      <w:tr w:rsidR="002660AA" w14:paraId="3AB9C13E" w14:textId="77777777">
        <w:tblPrEx>
          <w:tblCellMar>
            <w:top w:w="0" w:type="dxa"/>
            <w:bottom w:w="0" w:type="dxa"/>
          </w:tblCellMar>
        </w:tblPrEx>
        <w:trPr>
          <w:cantSplit/>
          <w:trHeight w:val="560"/>
        </w:trPr>
        <w:tc>
          <w:tcPr>
            <w:tcW w:w="700" w:type="dxa"/>
            <w:tcMar>
              <w:top w:w="0" w:type="dxa"/>
              <w:bottom w:w="0" w:type="dxa"/>
            </w:tcMar>
            <w:vAlign w:val="center"/>
          </w:tcPr>
          <w:p w14:paraId="6BA0209E" w14:textId="77777777" w:rsidR="002660AA" w:rsidRDefault="009B260F">
            <w:pPr>
              <w:keepNext/>
              <w:keepLines/>
              <w:spacing w:after="0" w:line="240" w:lineRule="auto"/>
            </w:pPr>
            <w:r>
              <w:rPr>
                <w:sz w:val="18"/>
              </w:rPr>
              <w:t>611</w:t>
            </w:r>
          </w:p>
        </w:tc>
        <w:tc>
          <w:tcPr>
            <w:tcW w:w="3180" w:type="dxa"/>
            <w:tcMar>
              <w:top w:w="0" w:type="dxa"/>
              <w:bottom w:w="0" w:type="dxa"/>
            </w:tcMar>
            <w:vAlign w:val="center"/>
          </w:tcPr>
          <w:p w14:paraId="79104D73" w14:textId="77777777" w:rsidR="002660AA" w:rsidRDefault="009B260F">
            <w:pPr>
              <w:keepNext/>
              <w:keepLines/>
              <w:spacing w:after="0" w:line="240" w:lineRule="auto"/>
            </w:pPr>
            <w:r>
              <w:rPr>
                <w:sz w:val="18"/>
              </w:rPr>
              <w:t>Porez na dohodak (šifre 6111 do 6116 - 6117 - 6119)</w:t>
            </w:r>
          </w:p>
        </w:tc>
        <w:tc>
          <w:tcPr>
            <w:tcW w:w="700" w:type="dxa"/>
            <w:tcMar>
              <w:top w:w="0" w:type="dxa"/>
              <w:bottom w:w="0" w:type="dxa"/>
            </w:tcMar>
            <w:vAlign w:val="center"/>
          </w:tcPr>
          <w:p w14:paraId="01782A7E" w14:textId="77777777" w:rsidR="002660AA" w:rsidRDefault="009B260F">
            <w:pPr>
              <w:keepNext/>
              <w:keepLines/>
              <w:spacing w:after="0" w:line="240" w:lineRule="auto"/>
            </w:pPr>
            <w:r>
              <w:rPr>
                <w:sz w:val="18"/>
              </w:rPr>
              <w:t>611</w:t>
            </w:r>
          </w:p>
        </w:tc>
        <w:tc>
          <w:tcPr>
            <w:tcW w:w="1860" w:type="dxa"/>
            <w:tcMar>
              <w:top w:w="0" w:type="dxa"/>
              <w:bottom w:w="0" w:type="dxa"/>
            </w:tcMar>
            <w:vAlign w:val="center"/>
          </w:tcPr>
          <w:p w14:paraId="7A02E508" w14:textId="77777777" w:rsidR="002660AA" w:rsidRDefault="009B260F">
            <w:pPr>
              <w:keepNext/>
              <w:keepLines/>
              <w:spacing w:after="0" w:line="240" w:lineRule="auto"/>
              <w:jc w:val="right"/>
            </w:pPr>
            <w:r>
              <w:rPr>
                <w:sz w:val="18"/>
              </w:rPr>
              <w:t>18.894.930,06</w:t>
            </w:r>
          </w:p>
        </w:tc>
        <w:tc>
          <w:tcPr>
            <w:tcW w:w="1860" w:type="dxa"/>
            <w:tcMar>
              <w:top w:w="0" w:type="dxa"/>
              <w:bottom w:w="0" w:type="dxa"/>
            </w:tcMar>
            <w:vAlign w:val="center"/>
          </w:tcPr>
          <w:p w14:paraId="5C196C20" w14:textId="77777777" w:rsidR="002660AA" w:rsidRDefault="009B260F">
            <w:pPr>
              <w:keepNext/>
              <w:keepLines/>
              <w:spacing w:after="0" w:line="240" w:lineRule="auto"/>
              <w:jc w:val="right"/>
            </w:pPr>
            <w:r>
              <w:rPr>
                <w:sz w:val="18"/>
              </w:rPr>
              <w:t>21.949.910,43</w:t>
            </w:r>
          </w:p>
        </w:tc>
        <w:tc>
          <w:tcPr>
            <w:tcW w:w="700" w:type="dxa"/>
            <w:tcMar>
              <w:top w:w="0" w:type="dxa"/>
              <w:bottom w:w="0" w:type="dxa"/>
            </w:tcMar>
            <w:vAlign w:val="center"/>
          </w:tcPr>
          <w:p w14:paraId="5655F58B" w14:textId="77777777" w:rsidR="002660AA" w:rsidRDefault="009B260F">
            <w:pPr>
              <w:keepNext/>
              <w:keepLines/>
              <w:spacing w:after="0" w:line="240" w:lineRule="auto"/>
              <w:jc w:val="right"/>
            </w:pPr>
            <w:r>
              <w:rPr>
                <w:sz w:val="18"/>
              </w:rPr>
              <w:t>116,2</w:t>
            </w:r>
          </w:p>
        </w:tc>
      </w:tr>
    </w:tbl>
    <w:p w14:paraId="03374902" w14:textId="77777777" w:rsidR="002660AA" w:rsidRDefault="002660AA">
      <w:pPr>
        <w:spacing w:after="0"/>
      </w:pPr>
    </w:p>
    <w:p w14:paraId="7AF89143" w14:textId="77777777" w:rsidR="002660AA" w:rsidRDefault="009B260F">
      <w:r>
        <w:t>Značajni porast poreznih prihoda posljedica je povećanja plaća na području Grada uslijed inflatornih pritisaka koji se bilježe posljednjih godina. Stupanjem na snagu Uredbe o nazivima radnih mjesta, uvjetima za raspored i koeficijentima za obračun plaće u javnim službama („Narodne novine“, br. 22/2024) značajno su se uvećali rashodi za zaposlene u javnim službama što je u najvećoj mjeri utjecalo na toliki porast poreznih prihoda. Iz navedenog razloga većina odjeljaka koji se odnose na porez i prirez na doho</w:t>
      </w:r>
      <w:r>
        <w:t>dak (611) bilježe dvoznamenkaste stope raste. </w:t>
      </w:r>
    </w:p>
    <w:p w14:paraId="2CE9B8BF" w14:textId="77777777" w:rsidR="002660AA" w:rsidRDefault="002660AA"/>
    <w:p w14:paraId="1D61361B" w14:textId="77777777" w:rsidR="002660AA" w:rsidRDefault="009B260F">
      <w:pPr>
        <w:keepNext/>
        <w:spacing w:line="240" w:lineRule="auto"/>
        <w:jc w:val="center"/>
      </w:pPr>
      <w:r>
        <w:rPr>
          <w:sz w:val="28"/>
        </w:rPr>
        <w:t>Bilješka 3.</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C18A0E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5655E8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CE968FF"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16DB85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945697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6EC23A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C203EDD" w14:textId="77777777" w:rsidR="002660AA" w:rsidRDefault="009B260F">
            <w:pPr>
              <w:keepNext/>
              <w:keepLines/>
              <w:spacing w:after="0" w:line="240" w:lineRule="auto"/>
              <w:jc w:val="center"/>
            </w:pPr>
            <w:r>
              <w:rPr>
                <w:b/>
                <w:sz w:val="18"/>
              </w:rPr>
              <w:t>Indeks (%)</w:t>
            </w:r>
          </w:p>
        </w:tc>
      </w:tr>
      <w:tr w:rsidR="002660AA" w14:paraId="1D5B75D2" w14:textId="77777777">
        <w:tblPrEx>
          <w:tblCellMar>
            <w:top w:w="0" w:type="dxa"/>
            <w:bottom w:w="0" w:type="dxa"/>
          </w:tblCellMar>
        </w:tblPrEx>
        <w:trPr>
          <w:cantSplit/>
          <w:trHeight w:val="560"/>
        </w:trPr>
        <w:tc>
          <w:tcPr>
            <w:tcW w:w="700" w:type="dxa"/>
            <w:tcMar>
              <w:top w:w="0" w:type="dxa"/>
              <w:bottom w:w="0" w:type="dxa"/>
            </w:tcMar>
            <w:vAlign w:val="center"/>
          </w:tcPr>
          <w:p w14:paraId="57E1275D" w14:textId="77777777" w:rsidR="002660AA" w:rsidRDefault="009B260F">
            <w:pPr>
              <w:keepNext/>
              <w:keepLines/>
              <w:spacing w:after="0" w:line="240" w:lineRule="auto"/>
            </w:pPr>
            <w:r>
              <w:rPr>
                <w:sz w:val="18"/>
              </w:rPr>
              <w:t>613</w:t>
            </w:r>
          </w:p>
        </w:tc>
        <w:tc>
          <w:tcPr>
            <w:tcW w:w="3180" w:type="dxa"/>
            <w:tcMar>
              <w:top w:w="0" w:type="dxa"/>
              <w:bottom w:w="0" w:type="dxa"/>
            </w:tcMar>
            <w:vAlign w:val="center"/>
          </w:tcPr>
          <w:p w14:paraId="73B00136" w14:textId="77777777" w:rsidR="002660AA" w:rsidRDefault="009B260F">
            <w:pPr>
              <w:keepNext/>
              <w:keepLines/>
              <w:spacing w:after="0" w:line="240" w:lineRule="auto"/>
            </w:pPr>
            <w:r>
              <w:rPr>
                <w:sz w:val="18"/>
              </w:rPr>
              <w:t>Porezi na imovinu (šifre 6131 do 6135)</w:t>
            </w:r>
          </w:p>
        </w:tc>
        <w:tc>
          <w:tcPr>
            <w:tcW w:w="700" w:type="dxa"/>
            <w:tcMar>
              <w:top w:w="0" w:type="dxa"/>
              <w:bottom w:w="0" w:type="dxa"/>
            </w:tcMar>
            <w:vAlign w:val="center"/>
          </w:tcPr>
          <w:p w14:paraId="422B5A12" w14:textId="77777777" w:rsidR="002660AA" w:rsidRDefault="009B260F">
            <w:pPr>
              <w:keepNext/>
              <w:keepLines/>
              <w:spacing w:after="0" w:line="240" w:lineRule="auto"/>
            </w:pPr>
            <w:r>
              <w:rPr>
                <w:sz w:val="18"/>
              </w:rPr>
              <w:t>613</w:t>
            </w:r>
          </w:p>
        </w:tc>
        <w:tc>
          <w:tcPr>
            <w:tcW w:w="1860" w:type="dxa"/>
            <w:tcMar>
              <w:top w:w="0" w:type="dxa"/>
              <w:bottom w:w="0" w:type="dxa"/>
            </w:tcMar>
            <w:vAlign w:val="center"/>
          </w:tcPr>
          <w:p w14:paraId="142B3C48" w14:textId="77777777" w:rsidR="002660AA" w:rsidRDefault="009B260F">
            <w:pPr>
              <w:keepNext/>
              <w:keepLines/>
              <w:spacing w:after="0" w:line="240" w:lineRule="auto"/>
              <w:jc w:val="right"/>
            </w:pPr>
            <w:r>
              <w:rPr>
                <w:sz w:val="18"/>
              </w:rPr>
              <w:t>829.460,28</w:t>
            </w:r>
          </w:p>
        </w:tc>
        <w:tc>
          <w:tcPr>
            <w:tcW w:w="1860" w:type="dxa"/>
            <w:tcMar>
              <w:top w:w="0" w:type="dxa"/>
              <w:bottom w:w="0" w:type="dxa"/>
            </w:tcMar>
            <w:vAlign w:val="center"/>
          </w:tcPr>
          <w:p w14:paraId="59B46488" w14:textId="77777777" w:rsidR="002660AA" w:rsidRDefault="009B260F">
            <w:pPr>
              <w:keepNext/>
              <w:keepLines/>
              <w:spacing w:after="0" w:line="240" w:lineRule="auto"/>
              <w:jc w:val="right"/>
            </w:pPr>
            <w:r>
              <w:rPr>
                <w:sz w:val="18"/>
              </w:rPr>
              <w:t>1.048.566,13</w:t>
            </w:r>
          </w:p>
        </w:tc>
        <w:tc>
          <w:tcPr>
            <w:tcW w:w="700" w:type="dxa"/>
            <w:tcMar>
              <w:top w:w="0" w:type="dxa"/>
              <w:bottom w:w="0" w:type="dxa"/>
            </w:tcMar>
            <w:vAlign w:val="center"/>
          </w:tcPr>
          <w:p w14:paraId="78818F18" w14:textId="77777777" w:rsidR="002660AA" w:rsidRDefault="009B260F">
            <w:pPr>
              <w:keepNext/>
              <w:keepLines/>
              <w:spacing w:after="0" w:line="240" w:lineRule="auto"/>
              <w:jc w:val="right"/>
            </w:pPr>
            <w:r>
              <w:rPr>
                <w:sz w:val="18"/>
              </w:rPr>
              <w:t>126,4</w:t>
            </w:r>
          </w:p>
        </w:tc>
      </w:tr>
    </w:tbl>
    <w:p w14:paraId="58C3B48E" w14:textId="77777777" w:rsidR="002660AA" w:rsidRDefault="002660AA">
      <w:pPr>
        <w:spacing w:after="0"/>
      </w:pPr>
    </w:p>
    <w:p w14:paraId="66F29F6C" w14:textId="77777777" w:rsidR="002660AA" w:rsidRDefault="009B260F">
      <w:r>
        <w:t>Porast od 26,4 posto posljedica je pojačane aktivnosti na tržištu nekretnina na području Grada. U sklopu ostvarenja bilježi se i prihod od 8.850,36 EUR na ime poreza na nekretnine. Riječ je o novom, ispostavilo se, neznačajnom prihodu. </w:t>
      </w:r>
    </w:p>
    <w:p w14:paraId="04DAEB66" w14:textId="77777777" w:rsidR="002660AA" w:rsidRDefault="002660AA"/>
    <w:p w14:paraId="5D855084" w14:textId="77777777" w:rsidR="002660AA" w:rsidRDefault="009B260F">
      <w:pPr>
        <w:keepNext/>
        <w:spacing w:line="240" w:lineRule="auto"/>
        <w:jc w:val="center"/>
      </w:pPr>
      <w:r>
        <w:rPr>
          <w:sz w:val="28"/>
        </w:rPr>
        <w:lastRenderedPageBreak/>
        <w:t>Bilješka 4.</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F1F5BD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E6EB51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82604B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590377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8AC157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CC126A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8F521D2" w14:textId="77777777" w:rsidR="002660AA" w:rsidRDefault="009B260F">
            <w:pPr>
              <w:keepNext/>
              <w:keepLines/>
              <w:spacing w:after="0" w:line="240" w:lineRule="auto"/>
              <w:jc w:val="center"/>
            </w:pPr>
            <w:r>
              <w:rPr>
                <w:b/>
                <w:sz w:val="18"/>
              </w:rPr>
              <w:t>Indeks (%)</w:t>
            </w:r>
          </w:p>
        </w:tc>
      </w:tr>
      <w:tr w:rsidR="002660AA" w14:paraId="42D5AF0A" w14:textId="77777777">
        <w:tblPrEx>
          <w:tblCellMar>
            <w:top w:w="0" w:type="dxa"/>
            <w:bottom w:w="0" w:type="dxa"/>
          </w:tblCellMar>
        </w:tblPrEx>
        <w:trPr>
          <w:cantSplit/>
          <w:trHeight w:val="560"/>
        </w:trPr>
        <w:tc>
          <w:tcPr>
            <w:tcW w:w="700" w:type="dxa"/>
            <w:tcMar>
              <w:top w:w="0" w:type="dxa"/>
              <w:bottom w:w="0" w:type="dxa"/>
            </w:tcMar>
            <w:vAlign w:val="center"/>
          </w:tcPr>
          <w:p w14:paraId="111420AE" w14:textId="77777777" w:rsidR="002660AA" w:rsidRDefault="009B260F">
            <w:pPr>
              <w:keepNext/>
              <w:keepLines/>
              <w:spacing w:after="0" w:line="240" w:lineRule="auto"/>
            </w:pPr>
            <w:r>
              <w:rPr>
                <w:sz w:val="18"/>
              </w:rPr>
              <w:t>6142</w:t>
            </w:r>
          </w:p>
        </w:tc>
        <w:tc>
          <w:tcPr>
            <w:tcW w:w="3180" w:type="dxa"/>
            <w:tcMar>
              <w:top w:w="0" w:type="dxa"/>
              <w:bottom w:w="0" w:type="dxa"/>
            </w:tcMar>
            <w:vAlign w:val="center"/>
          </w:tcPr>
          <w:p w14:paraId="4C365C32" w14:textId="77777777" w:rsidR="002660AA" w:rsidRDefault="009B260F">
            <w:pPr>
              <w:keepNext/>
              <w:keepLines/>
              <w:spacing w:after="0" w:line="240" w:lineRule="auto"/>
            </w:pPr>
            <w:r>
              <w:rPr>
                <w:sz w:val="18"/>
              </w:rPr>
              <w:t>Porez na promet</w:t>
            </w:r>
          </w:p>
        </w:tc>
        <w:tc>
          <w:tcPr>
            <w:tcW w:w="700" w:type="dxa"/>
            <w:tcMar>
              <w:top w:w="0" w:type="dxa"/>
              <w:bottom w:w="0" w:type="dxa"/>
            </w:tcMar>
            <w:vAlign w:val="center"/>
          </w:tcPr>
          <w:p w14:paraId="5C7BD1B7" w14:textId="77777777" w:rsidR="002660AA" w:rsidRDefault="009B260F">
            <w:pPr>
              <w:keepNext/>
              <w:keepLines/>
              <w:spacing w:after="0" w:line="240" w:lineRule="auto"/>
            </w:pPr>
            <w:r>
              <w:rPr>
                <w:sz w:val="18"/>
              </w:rPr>
              <w:t>6142</w:t>
            </w:r>
          </w:p>
        </w:tc>
        <w:tc>
          <w:tcPr>
            <w:tcW w:w="1860" w:type="dxa"/>
            <w:tcMar>
              <w:top w:w="0" w:type="dxa"/>
              <w:bottom w:w="0" w:type="dxa"/>
            </w:tcMar>
            <w:vAlign w:val="center"/>
          </w:tcPr>
          <w:p w14:paraId="1529345F" w14:textId="77777777" w:rsidR="002660AA" w:rsidRDefault="009B260F">
            <w:pPr>
              <w:keepNext/>
              <w:keepLines/>
              <w:spacing w:after="0" w:line="240" w:lineRule="auto"/>
              <w:jc w:val="right"/>
            </w:pPr>
            <w:r>
              <w:rPr>
                <w:sz w:val="18"/>
              </w:rPr>
              <w:t>179.566,34</w:t>
            </w:r>
          </w:p>
        </w:tc>
        <w:tc>
          <w:tcPr>
            <w:tcW w:w="1860" w:type="dxa"/>
            <w:tcMar>
              <w:top w:w="0" w:type="dxa"/>
              <w:bottom w:w="0" w:type="dxa"/>
            </w:tcMar>
            <w:vAlign w:val="center"/>
          </w:tcPr>
          <w:p w14:paraId="68CAE0A6" w14:textId="77777777" w:rsidR="002660AA" w:rsidRDefault="009B260F">
            <w:pPr>
              <w:keepNext/>
              <w:keepLines/>
              <w:spacing w:after="0" w:line="240" w:lineRule="auto"/>
              <w:jc w:val="right"/>
            </w:pPr>
            <w:r>
              <w:rPr>
                <w:sz w:val="18"/>
              </w:rPr>
              <w:t>204.749,59</w:t>
            </w:r>
          </w:p>
        </w:tc>
        <w:tc>
          <w:tcPr>
            <w:tcW w:w="700" w:type="dxa"/>
            <w:tcMar>
              <w:top w:w="0" w:type="dxa"/>
              <w:bottom w:w="0" w:type="dxa"/>
            </w:tcMar>
            <w:vAlign w:val="center"/>
          </w:tcPr>
          <w:p w14:paraId="4A192CBA" w14:textId="77777777" w:rsidR="002660AA" w:rsidRDefault="009B260F">
            <w:pPr>
              <w:keepNext/>
              <w:keepLines/>
              <w:spacing w:after="0" w:line="240" w:lineRule="auto"/>
              <w:jc w:val="right"/>
            </w:pPr>
            <w:r>
              <w:rPr>
                <w:sz w:val="18"/>
              </w:rPr>
              <w:t>114,0</w:t>
            </w:r>
          </w:p>
        </w:tc>
      </w:tr>
    </w:tbl>
    <w:p w14:paraId="1AA8F9D0" w14:textId="77777777" w:rsidR="002660AA" w:rsidRDefault="002660AA">
      <w:pPr>
        <w:spacing w:after="0"/>
      </w:pPr>
    </w:p>
    <w:p w14:paraId="5F84589B" w14:textId="77777777" w:rsidR="002660AA" w:rsidRDefault="009B260F">
      <w:r>
        <w:t>Porez na promet gdje se evidentira porez na potrošnju bilježi veću realizaciju u odnosu na onu iz 2024. godine. Riječ je o posljedici općenitog porasta cijena roba na koje se obračunava porez na potrošnju. </w:t>
      </w:r>
    </w:p>
    <w:p w14:paraId="73482D6A" w14:textId="77777777" w:rsidR="002660AA" w:rsidRDefault="002660AA"/>
    <w:p w14:paraId="3303260F" w14:textId="77777777" w:rsidR="002660AA" w:rsidRDefault="009B260F">
      <w:pPr>
        <w:keepNext/>
        <w:spacing w:line="240" w:lineRule="auto"/>
        <w:jc w:val="center"/>
      </w:pPr>
      <w:r>
        <w:rPr>
          <w:sz w:val="28"/>
        </w:rPr>
        <w:t>Bilješka 5.</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31B66B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AD7CC5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3C6021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E4BDF5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FC3C70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4B80B4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3955644" w14:textId="77777777" w:rsidR="002660AA" w:rsidRDefault="009B260F">
            <w:pPr>
              <w:keepNext/>
              <w:keepLines/>
              <w:spacing w:after="0" w:line="240" w:lineRule="auto"/>
              <w:jc w:val="center"/>
            </w:pPr>
            <w:r>
              <w:rPr>
                <w:b/>
                <w:sz w:val="18"/>
              </w:rPr>
              <w:t>Indeks (%)</w:t>
            </w:r>
          </w:p>
        </w:tc>
      </w:tr>
      <w:tr w:rsidR="002660AA" w14:paraId="6EE6BE20" w14:textId="77777777">
        <w:tblPrEx>
          <w:tblCellMar>
            <w:top w:w="0" w:type="dxa"/>
            <w:bottom w:w="0" w:type="dxa"/>
          </w:tblCellMar>
        </w:tblPrEx>
        <w:trPr>
          <w:cantSplit/>
          <w:trHeight w:val="560"/>
        </w:trPr>
        <w:tc>
          <w:tcPr>
            <w:tcW w:w="700" w:type="dxa"/>
            <w:tcMar>
              <w:top w:w="0" w:type="dxa"/>
              <w:bottom w:w="0" w:type="dxa"/>
            </w:tcMar>
            <w:vAlign w:val="center"/>
          </w:tcPr>
          <w:p w14:paraId="0D413A34" w14:textId="77777777" w:rsidR="002660AA" w:rsidRDefault="009B260F">
            <w:pPr>
              <w:keepNext/>
              <w:keepLines/>
              <w:spacing w:after="0" w:line="240" w:lineRule="auto"/>
            </w:pPr>
            <w:r>
              <w:rPr>
                <w:sz w:val="18"/>
              </w:rPr>
              <w:t>6145</w:t>
            </w:r>
          </w:p>
        </w:tc>
        <w:tc>
          <w:tcPr>
            <w:tcW w:w="3180" w:type="dxa"/>
            <w:tcMar>
              <w:top w:w="0" w:type="dxa"/>
              <w:bottom w:w="0" w:type="dxa"/>
            </w:tcMar>
            <w:vAlign w:val="center"/>
          </w:tcPr>
          <w:p w14:paraId="1A6292B1" w14:textId="77777777" w:rsidR="002660AA" w:rsidRDefault="009B260F">
            <w:pPr>
              <w:keepNext/>
              <w:keepLines/>
              <w:spacing w:after="0" w:line="240" w:lineRule="auto"/>
            </w:pPr>
            <w:r>
              <w:rPr>
                <w:sz w:val="18"/>
              </w:rPr>
              <w:t>Porezi na korištenje dobara ili izvođenje aktivnosti</w:t>
            </w:r>
          </w:p>
        </w:tc>
        <w:tc>
          <w:tcPr>
            <w:tcW w:w="700" w:type="dxa"/>
            <w:tcMar>
              <w:top w:w="0" w:type="dxa"/>
              <w:bottom w:w="0" w:type="dxa"/>
            </w:tcMar>
            <w:vAlign w:val="center"/>
          </w:tcPr>
          <w:p w14:paraId="52A253CF" w14:textId="77777777" w:rsidR="002660AA" w:rsidRDefault="009B260F">
            <w:pPr>
              <w:keepNext/>
              <w:keepLines/>
              <w:spacing w:after="0" w:line="240" w:lineRule="auto"/>
            </w:pPr>
            <w:r>
              <w:rPr>
                <w:sz w:val="18"/>
              </w:rPr>
              <w:t>6145</w:t>
            </w:r>
          </w:p>
        </w:tc>
        <w:tc>
          <w:tcPr>
            <w:tcW w:w="1860" w:type="dxa"/>
            <w:tcMar>
              <w:top w:w="0" w:type="dxa"/>
              <w:bottom w:w="0" w:type="dxa"/>
            </w:tcMar>
            <w:vAlign w:val="center"/>
          </w:tcPr>
          <w:p w14:paraId="38761F4A" w14:textId="77777777" w:rsidR="002660AA" w:rsidRDefault="009B260F">
            <w:pPr>
              <w:keepNext/>
              <w:keepLines/>
              <w:spacing w:after="0" w:line="240" w:lineRule="auto"/>
              <w:jc w:val="right"/>
            </w:pPr>
            <w:r>
              <w:rPr>
                <w:sz w:val="18"/>
              </w:rPr>
              <w:t>919,35</w:t>
            </w:r>
          </w:p>
        </w:tc>
        <w:tc>
          <w:tcPr>
            <w:tcW w:w="1860" w:type="dxa"/>
            <w:tcMar>
              <w:top w:w="0" w:type="dxa"/>
              <w:bottom w:w="0" w:type="dxa"/>
            </w:tcMar>
            <w:vAlign w:val="center"/>
          </w:tcPr>
          <w:p w14:paraId="269B33B9" w14:textId="77777777" w:rsidR="002660AA" w:rsidRDefault="009B260F">
            <w:pPr>
              <w:keepNext/>
              <w:keepLines/>
              <w:spacing w:after="0" w:line="240" w:lineRule="auto"/>
              <w:jc w:val="right"/>
            </w:pPr>
            <w:r>
              <w:rPr>
                <w:sz w:val="18"/>
              </w:rPr>
              <w:t>474,55</w:t>
            </w:r>
          </w:p>
        </w:tc>
        <w:tc>
          <w:tcPr>
            <w:tcW w:w="700" w:type="dxa"/>
            <w:tcMar>
              <w:top w:w="0" w:type="dxa"/>
              <w:bottom w:w="0" w:type="dxa"/>
            </w:tcMar>
            <w:vAlign w:val="center"/>
          </w:tcPr>
          <w:p w14:paraId="2B1C11E1" w14:textId="77777777" w:rsidR="002660AA" w:rsidRDefault="009B260F">
            <w:pPr>
              <w:keepNext/>
              <w:keepLines/>
              <w:spacing w:after="0" w:line="240" w:lineRule="auto"/>
              <w:jc w:val="right"/>
            </w:pPr>
            <w:r>
              <w:rPr>
                <w:sz w:val="18"/>
              </w:rPr>
              <w:t>51,6</w:t>
            </w:r>
          </w:p>
        </w:tc>
      </w:tr>
    </w:tbl>
    <w:p w14:paraId="2518C637" w14:textId="77777777" w:rsidR="002660AA" w:rsidRDefault="002660AA">
      <w:pPr>
        <w:spacing w:after="0"/>
      </w:pPr>
    </w:p>
    <w:p w14:paraId="4278F7BC" w14:textId="77777777" w:rsidR="002660AA" w:rsidRDefault="009B260F">
      <w:r>
        <w:t>Porez na tvrtku, iako ukinut, i dalje bilježi realizaciju. Isključivo je to posljedica provedenih postupaka ovrhe u ranijim razdobljima.</w:t>
      </w:r>
    </w:p>
    <w:p w14:paraId="35C4B346" w14:textId="77777777" w:rsidR="002660AA" w:rsidRDefault="002660AA"/>
    <w:p w14:paraId="561E6550" w14:textId="77777777" w:rsidR="002660AA" w:rsidRDefault="009B260F">
      <w:pPr>
        <w:keepNext/>
        <w:spacing w:line="240" w:lineRule="auto"/>
        <w:jc w:val="center"/>
      </w:pPr>
      <w:r>
        <w:rPr>
          <w:sz w:val="28"/>
        </w:rPr>
        <w:t>Bilješka 6.</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8C6B2D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721829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B9B63C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34F6E0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93C1CB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226781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8D9DB80" w14:textId="77777777" w:rsidR="002660AA" w:rsidRDefault="009B260F">
            <w:pPr>
              <w:keepNext/>
              <w:keepLines/>
              <w:spacing w:after="0" w:line="240" w:lineRule="auto"/>
              <w:jc w:val="center"/>
            </w:pPr>
            <w:r>
              <w:rPr>
                <w:b/>
                <w:sz w:val="18"/>
              </w:rPr>
              <w:t>Indeks (%)</w:t>
            </w:r>
          </w:p>
        </w:tc>
      </w:tr>
      <w:tr w:rsidR="002660AA" w14:paraId="10EA3732" w14:textId="77777777">
        <w:tblPrEx>
          <w:tblCellMar>
            <w:top w:w="0" w:type="dxa"/>
            <w:bottom w:w="0" w:type="dxa"/>
          </w:tblCellMar>
        </w:tblPrEx>
        <w:trPr>
          <w:cantSplit/>
          <w:trHeight w:val="560"/>
        </w:trPr>
        <w:tc>
          <w:tcPr>
            <w:tcW w:w="700" w:type="dxa"/>
            <w:tcMar>
              <w:top w:w="0" w:type="dxa"/>
              <w:bottom w:w="0" w:type="dxa"/>
            </w:tcMar>
            <w:vAlign w:val="center"/>
          </w:tcPr>
          <w:p w14:paraId="49C7A6D0" w14:textId="77777777" w:rsidR="002660AA" w:rsidRDefault="009B260F">
            <w:pPr>
              <w:keepNext/>
              <w:keepLines/>
              <w:spacing w:after="0" w:line="240" w:lineRule="auto"/>
            </w:pPr>
            <w:r>
              <w:rPr>
                <w:sz w:val="18"/>
              </w:rPr>
              <w:t>63</w:t>
            </w:r>
          </w:p>
        </w:tc>
        <w:tc>
          <w:tcPr>
            <w:tcW w:w="3180" w:type="dxa"/>
            <w:tcMar>
              <w:top w:w="0" w:type="dxa"/>
              <w:bottom w:w="0" w:type="dxa"/>
            </w:tcMar>
            <w:vAlign w:val="center"/>
          </w:tcPr>
          <w:p w14:paraId="0B57690F" w14:textId="77777777" w:rsidR="002660AA" w:rsidRDefault="009B260F">
            <w:pPr>
              <w:keepNext/>
              <w:keepLines/>
              <w:spacing w:after="0" w:line="240" w:lineRule="auto"/>
            </w:pPr>
            <w:r>
              <w:rPr>
                <w:sz w:val="18"/>
              </w:rPr>
              <w:t>Pomoći iz inozemstva i od subjekata unutar općeg proračuna (šifre 631+632+633+634+635+636+637+638+639)</w:t>
            </w:r>
          </w:p>
        </w:tc>
        <w:tc>
          <w:tcPr>
            <w:tcW w:w="700" w:type="dxa"/>
            <w:tcMar>
              <w:top w:w="0" w:type="dxa"/>
              <w:bottom w:w="0" w:type="dxa"/>
            </w:tcMar>
            <w:vAlign w:val="center"/>
          </w:tcPr>
          <w:p w14:paraId="336622B7" w14:textId="77777777" w:rsidR="002660AA" w:rsidRDefault="009B260F">
            <w:pPr>
              <w:keepNext/>
              <w:keepLines/>
              <w:spacing w:after="0" w:line="240" w:lineRule="auto"/>
            </w:pPr>
            <w:r>
              <w:rPr>
                <w:sz w:val="18"/>
              </w:rPr>
              <w:t>63</w:t>
            </w:r>
          </w:p>
        </w:tc>
        <w:tc>
          <w:tcPr>
            <w:tcW w:w="1860" w:type="dxa"/>
            <w:tcMar>
              <w:top w:w="0" w:type="dxa"/>
              <w:bottom w:w="0" w:type="dxa"/>
            </w:tcMar>
            <w:vAlign w:val="center"/>
          </w:tcPr>
          <w:p w14:paraId="704E9E25" w14:textId="77777777" w:rsidR="002660AA" w:rsidRDefault="009B260F">
            <w:pPr>
              <w:keepNext/>
              <w:keepLines/>
              <w:spacing w:after="0" w:line="240" w:lineRule="auto"/>
              <w:jc w:val="right"/>
            </w:pPr>
            <w:r>
              <w:rPr>
                <w:sz w:val="18"/>
              </w:rPr>
              <w:t>4.496.426,96</w:t>
            </w:r>
          </w:p>
        </w:tc>
        <w:tc>
          <w:tcPr>
            <w:tcW w:w="1860" w:type="dxa"/>
            <w:tcMar>
              <w:top w:w="0" w:type="dxa"/>
              <w:bottom w:w="0" w:type="dxa"/>
            </w:tcMar>
            <w:vAlign w:val="center"/>
          </w:tcPr>
          <w:p w14:paraId="1315DF37" w14:textId="77777777" w:rsidR="002660AA" w:rsidRDefault="009B260F">
            <w:pPr>
              <w:keepNext/>
              <w:keepLines/>
              <w:spacing w:after="0" w:line="240" w:lineRule="auto"/>
              <w:jc w:val="right"/>
            </w:pPr>
            <w:r>
              <w:rPr>
                <w:sz w:val="18"/>
              </w:rPr>
              <w:t>9.002.141,50</w:t>
            </w:r>
          </w:p>
        </w:tc>
        <w:tc>
          <w:tcPr>
            <w:tcW w:w="700" w:type="dxa"/>
            <w:tcMar>
              <w:top w:w="0" w:type="dxa"/>
              <w:bottom w:w="0" w:type="dxa"/>
            </w:tcMar>
            <w:vAlign w:val="center"/>
          </w:tcPr>
          <w:p w14:paraId="4920F881" w14:textId="77777777" w:rsidR="002660AA" w:rsidRDefault="009B260F">
            <w:pPr>
              <w:keepNext/>
              <w:keepLines/>
              <w:spacing w:after="0" w:line="240" w:lineRule="auto"/>
              <w:jc w:val="right"/>
            </w:pPr>
            <w:r>
              <w:rPr>
                <w:sz w:val="18"/>
              </w:rPr>
              <w:t>200,2</w:t>
            </w:r>
          </w:p>
        </w:tc>
      </w:tr>
    </w:tbl>
    <w:p w14:paraId="045433D6" w14:textId="77777777" w:rsidR="002660AA" w:rsidRDefault="002660AA">
      <w:pPr>
        <w:spacing w:after="0"/>
      </w:pPr>
    </w:p>
    <w:p w14:paraId="2D5554D6" w14:textId="77777777" w:rsidR="002660AA" w:rsidRDefault="009B260F">
      <w:r>
        <w:t>Što se tiče pomoći iz inozemstva i od subjekata unutar općeg proračuna (skupina 63) bilježi se značajni rast od 100,2 posto što će se obrazložiti u nastavku na razini odjeljka.</w:t>
      </w:r>
    </w:p>
    <w:p w14:paraId="3DA46325" w14:textId="77777777" w:rsidR="002660AA" w:rsidRDefault="002660AA"/>
    <w:p w14:paraId="667C4E44" w14:textId="77777777" w:rsidR="002660AA" w:rsidRDefault="009B260F">
      <w:pPr>
        <w:keepNext/>
        <w:spacing w:line="240" w:lineRule="auto"/>
        <w:jc w:val="center"/>
      </w:pPr>
      <w:r>
        <w:rPr>
          <w:sz w:val="28"/>
        </w:rPr>
        <w:t>Bilješka 7.</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A2AA6B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9D3800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1E2CFD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54CB31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A7F4B7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07F642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2322E65" w14:textId="77777777" w:rsidR="002660AA" w:rsidRDefault="009B260F">
            <w:pPr>
              <w:keepNext/>
              <w:keepLines/>
              <w:spacing w:after="0" w:line="240" w:lineRule="auto"/>
              <w:jc w:val="center"/>
            </w:pPr>
            <w:r>
              <w:rPr>
                <w:b/>
                <w:sz w:val="18"/>
              </w:rPr>
              <w:t>Indeks (%)</w:t>
            </w:r>
          </w:p>
        </w:tc>
      </w:tr>
      <w:tr w:rsidR="002660AA" w14:paraId="44DC10B7" w14:textId="77777777">
        <w:tblPrEx>
          <w:tblCellMar>
            <w:top w:w="0" w:type="dxa"/>
            <w:bottom w:w="0" w:type="dxa"/>
          </w:tblCellMar>
        </w:tblPrEx>
        <w:trPr>
          <w:cantSplit/>
          <w:trHeight w:val="560"/>
        </w:trPr>
        <w:tc>
          <w:tcPr>
            <w:tcW w:w="700" w:type="dxa"/>
            <w:tcMar>
              <w:top w:w="0" w:type="dxa"/>
              <w:bottom w:w="0" w:type="dxa"/>
            </w:tcMar>
            <w:vAlign w:val="center"/>
          </w:tcPr>
          <w:p w14:paraId="5149B183" w14:textId="77777777" w:rsidR="002660AA" w:rsidRDefault="009B260F">
            <w:pPr>
              <w:keepNext/>
              <w:keepLines/>
              <w:spacing w:after="0" w:line="240" w:lineRule="auto"/>
            </w:pPr>
            <w:r>
              <w:rPr>
                <w:sz w:val="18"/>
              </w:rPr>
              <w:t>6311</w:t>
            </w:r>
          </w:p>
        </w:tc>
        <w:tc>
          <w:tcPr>
            <w:tcW w:w="3180" w:type="dxa"/>
            <w:tcMar>
              <w:top w:w="0" w:type="dxa"/>
              <w:bottom w:w="0" w:type="dxa"/>
            </w:tcMar>
            <w:vAlign w:val="center"/>
          </w:tcPr>
          <w:p w14:paraId="132BC6EF" w14:textId="77777777" w:rsidR="002660AA" w:rsidRDefault="009B260F">
            <w:pPr>
              <w:keepNext/>
              <w:keepLines/>
              <w:spacing w:after="0" w:line="240" w:lineRule="auto"/>
            </w:pPr>
            <w:r>
              <w:rPr>
                <w:sz w:val="18"/>
              </w:rPr>
              <w:t>Tekuće pomoći od inozemnih vlada</w:t>
            </w:r>
          </w:p>
        </w:tc>
        <w:tc>
          <w:tcPr>
            <w:tcW w:w="700" w:type="dxa"/>
            <w:tcMar>
              <w:top w:w="0" w:type="dxa"/>
              <w:bottom w:w="0" w:type="dxa"/>
            </w:tcMar>
            <w:vAlign w:val="center"/>
          </w:tcPr>
          <w:p w14:paraId="117B7839" w14:textId="77777777" w:rsidR="002660AA" w:rsidRDefault="009B260F">
            <w:pPr>
              <w:keepNext/>
              <w:keepLines/>
              <w:spacing w:after="0" w:line="240" w:lineRule="auto"/>
            </w:pPr>
            <w:r>
              <w:rPr>
                <w:sz w:val="18"/>
              </w:rPr>
              <w:t>6311</w:t>
            </w:r>
          </w:p>
        </w:tc>
        <w:tc>
          <w:tcPr>
            <w:tcW w:w="1860" w:type="dxa"/>
            <w:tcMar>
              <w:top w:w="0" w:type="dxa"/>
              <w:bottom w:w="0" w:type="dxa"/>
            </w:tcMar>
            <w:vAlign w:val="center"/>
          </w:tcPr>
          <w:p w14:paraId="48BFDB6D" w14:textId="77777777" w:rsidR="002660AA" w:rsidRDefault="009B260F">
            <w:pPr>
              <w:keepNext/>
              <w:keepLines/>
              <w:spacing w:after="0" w:line="240" w:lineRule="auto"/>
              <w:jc w:val="right"/>
            </w:pPr>
            <w:r>
              <w:rPr>
                <w:sz w:val="18"/>
              </w:rPr>
              <w:t>2.455,67</w:t>
            </w:r>
          </w:p>
        </w:tc>
        <w:tc>
          <w:tcPr>
            <w:tcW w:w="1860" w:type="dxa"/>
            <w:tcMar>
              <w:top w:w="0" w:type="dxa"/>
              <w:bottom w:w="0" w:type="dxa"/>
            </w:tcMar>
            <w:vAlign w:val="center"/>
          </w:tcPr>
          <w:p w14:paraId="0351D1B3" w14:textId="77777777" w:rsidR="002660AA" w:rsidRDefault="009B260F">
            <w:pPr>
              <w:keepNext/>
              <w:keepLines/>
              <w:spacing w:after="0" w:line="240" w:lineRule="auto"/>
              <w:jc w:val="right"/>
            </w:pPr>
            <w:r>
              <w:rPr>
                <w:sz w:val="18"/>
              </w:rPr>
              <w:t>24.099,48</w:t>
            </w:r>
          </w:p>
        </w:tc>
        <w:tc>
          <w:tcPr>
            <w:tcW w:w="700" w:type="dxa"/>
            <w:tcMar>
              <w:top w:w="0" w:type="dxa"/>
              <w:bottom w:w="0" w:type="dxa"/>
            </w:tcMar>
            <w:vAlign w:val="center"/>
          </w:tcPr>
          <w:p w14:paraId="74E65F1F" w14:textId="77777777" w:rsidR="002660AA" w:rsidRDefault="009B260F">
            <w:pPr>
              <w:keepNext/>
              <w:keepLines/>
              <w:spacing w:after="0" w:line="240" w:lineRule="auto"/>
              <w:jc w:val="right"/>
            </w:pPr>
            <w:r>
              <w:rPr>
                <w:sz w:val="18"/>
              </w:rPr>
              <w:t>981,4</w:t>
            </w:r>
          </w:p>
        </w:tc>
      </w:tr>
    </w:tbl>
    <w:p w14:paraId="497A0EFA" w14:textId="77777777" w:rsidR="002660AA" w:rsidRDefault="002660AA">
      <w:pPr>
        <w:spacing w:after="0"/>
      </w:pPr>
    </w:p>
    <w:p w14:paraId="6A9D6622" w14:textId="77777777" w:rsidR="002660AA" w:rsidRDefault="009B260F">
      <w:r>
        <w:t>Prošle godine evidentirana je uplata po projektu One Sun u iznosu od 2.455,67 EUR, koji je u međuvremenu završen. U 2025. godini ostvarena je uplata iz projekta CCSI4CCSI Europskog fonda za regionalni razvoj.</w:t>
      </w:r>
    </w:p>
    <w:p w14:paraId="336413F9" w14:textId="77777777" w:rsidR="002660AA" w:rsidRDefault="002660AA"/>
    <w:p w14:paraId="215F0755" w14:textId="77777777" w:rsidR="002660AA" w:rsidRDefault="009B260F">
      <w:pPr>
        <w:keepNext/>
        <w:spacing w:line="240" w:lineRule="auto"/>
        <w:jc w:val="center"/>
      </w:pPr>
      <w:r>
        <w:rPr>
          <w:sz w:val="28"/>
        </w:rPr>
        <w:t>Bilješka 8.</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FEE35D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5A9137B"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25D3A1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D8A471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CD71DA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39A05D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6DDA420" w14:textId="77777777" w:rsidR="002660AA" w:rsidRDefault="009B260F">
            <w:pPr>
              <w:keepNext/>
              <w:keepLines/>
              <w:spacing w:after="0" w:line="240" w:lineRule="auto"/>
              <w:jc w:val="center"/>
            </w:pPr>
            <w:r>
              <w:rPr>
                <w:b/>
                <w:sz w:val="18"/>
              </w:rPr>
              <w:t>Indeks (%)</w:t>
            </w:r>
          </w:p>
        </w:tc>
      </w:tr>
      <w:tr w:rsidR="002660AA" w14:paraId="53CBF099" w14:textId="77777777">
        <w:tblPrEx>
          <w:tblCellMar>
            <w:top w:w="0" w:type="dxa"/>
            <w:bottom w:w="0" w:type="dxa"/>
          </w:tblCellMar>
        </w:tblPrEx>
        <w:trPr>
          <w:cantSplit/>
          <w:trHeight w:val="560"/>
        </w:trPr>
        <w:tc>
          <w:tcPr>
            <w:tcW w:w="700" w:type="dxa"/>
            <w:tcMar>
              <w:top w:w="0" w:type="dxa"/>
              <w:bottom w:w="0" w:type="dxa"/>
            </w:tcMar>
            <w:vAlign w:val="center"/>
          </w:tcPr>
          <w:p w14:paraId="3095621C" w14:textId="77777777" w:rsidR="002660AA" w:rsidRDefault="009B260F">
            <w:pPr>
              <w:keepNext/>
              <w:keepLines/>
              <w:spacing w:after="0" w:line="240" w:lineRule="auto"/>
            </w:pPr>
            <w:r>
              <w:rPr>
                <w:sz w:val="18"/>
              </w:rPr>
              <w:t>6312</w:t>
            </w:r>
          </w:p>
        </w:tc>
        <w:tc>
          <w:tcPr>
            <w:tcW w:w="3180" w:type="dxa"/>
            <w:tcMar>
              <w:top w:w="0" w:type="dxa"/>
              <w:bottom w:w="0" w:type="dxa"/>
            </w:tcMar>
            <w:vAlign w:val="center"/>
          </w:tcPr>
          <w:p w14:paraId="6DE1AB8E" w14:textId="77777777" w:rsidR="002660AA" w:rsidRDefault="009B260F">
            <w:pPr>
              <w:keepNext/>
              <w:keepLines/>
              <w:spacing w:after="0" w:line="240" w:lineRule="auto"/>
            </w:pPr>
            <w:r>
              <w:rPr>
                <w:sz w:val="18"/>
              </w:rPr>
              <w:t>Kapitalne pomoći od inozemnih vlada</w:t>
            </w:r>
          </w:p>
        </w:tc>
        <w:tc>
          <w:tcPr>
            <w:tcW w:w="700" w:type="dxa"/>
            <w:tcMar>
              <w:top w:w="0" w:type="dxa"/>
              <w:bottom w:w="0" w:type="dxa"/>
            </w:tcMar>
            <w:vAlign w:val="center"/>
          </w:tcPr>
          <w:p w14:paraId="057F4932" w14:textId="77777777" w:rsidR="002660AA" w:rsidRDefault="009B260F">
            <w:pPr>
              <w:keepNext/>
              <w:keepLines/>
              <w:spacing w:after="0" w:line="240" w:lineRule="auto"/>
            </w:pPr>
            <w:r>
              <w:rPr>
                <w:sz w:val="18"/>
              </w:rPr>
              <w:t>6312</w:t>
            </w:r>
          </w:p>
        </w:tc>
        <w:tc>
          <w:tcPr>
            <w:tcW w:w="1860" w:type="dxa"/>
            <w:tcMar>
              <w:top w:w="0" w:type="dxa"/>
              <w:bottom w:w="0" w:type="dxa"/>
            </w:tcMar>
            <w:vAlign w:val="center"/>
          </w:tcPr>
          <w:p w14:paraId="7F27B823" w14:textId="77777777" w:rsidR="002660AA" w:rsidRDefault="009B260F">
            <w:pPr>
              <w:keepNext/>
              <w:keepLines/>
              <w:spacing w:after="0" w:line="240" w:lineRule="auto"/>
              <w:jc w:val="right"/>
            </w:pPr>
            <w:r>
              <w:rPr>
                <w:sz w:val="18"/>
              </w:rPr>
              <w:t>91.768,29</w:t>
            </w:r>
          </w:p>
        </w:tc>
        <w:tc>
          <w:tcPr>
            <w:tcW w:w="1860" w:type="dxa"/>
            <w:tcMar>
              <w:top w:w="0" w:type="dxa"/>
              <w:bottom w:w="0" w:type="dxa"/>
            </w:tcMar>
            <w:vAlign w:val="center"/>
          </w:tcPr>
          <w:p w14:paraId="31D000AA"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13B64D9B" w14:textId="77777777" w:rsidR="002660AA" w:rsidRDefault="009B260F">
            <w:pPr>
              <w:keepNext/>
              <w:keepLines/>
              <w:spacing w:after="0" w:line="240" w:lineRule="auto"/>
              <w:jc w:val="right"/>
            </w:pPr>
            <w:r>
              <w:rPr>
                <w:sz w:val="18"/>
              </w:rPr>
              <w:t>0</w:t>
            </w:r>
          </w:p>
        </w:tc>
      </w:tr>
    </w:tbl>
    <w:p w14:paraId="51DA0DC0" w14:textId="77777777" w:rsidR="002660AA" w:rsidRDefault="002660AA">
      <w:pPr>
        <w:spacing w:after="0"/>
      </w:pPr>
    </w:p>
    <w:p w14:paraId="354E555E" w14:textId="77777777" w:rsidR="002660AA" w:rsidRDefault="009B260F">
      <w:r>
        <w:t>Prihod se tijekom 2025. godine nije ostvario na ovom kontu dok je isti prethodne godine iznosio 91.768,29 EUR. Iznos  predstavlja refundaciju za troškove nastale u projektu One Sun unutar kojeg su se instalirale fotonaponske čelije na OŠ Antun Nemčić Gostovinski, OŠ Braća Radić i COOR Podravsko sunce.</w:t>
      </w:r>
    </w:p>
    <w:p w14:paraId="192DD017" w14:textId="77777777" w:rsidR="002660AA" w:rsidRDefault="002660AA"/>
    <w:p w14:paraId="0D94CD23" w14:textId="77777777" w:rsidR="002660AA" w:rsidRDefault="009B260F">
      <w:pPr>
        <w:keepNext/>
        <w:spacing w:line="240" w:lineRule="auto"/>
        <w:jc w:val="center"/>
      </w:pPr>
      <w:r>
        <w:rPr>
          <w:sz w:val="28"/>
        </w:rPr>
        <w:t>Bilješka 9.</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2CAE5F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08E75D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44B361D"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4679FD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66B185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591FF1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CF44A16" w14:textId="77777777" w:rsidR="002660AA" w:rsidRDefault="009B260F">
            <w:pPr>
              <w:keepNext/>
              <w:keepLines/>
              <w:spacing w:after="0" w:line="240" w:lineRule="auto"/>
              <w:jc w:val="center"/>
            </w:pPr>
            <w:r>
              <w:rPr>
                <w:b/>
                <w:sz w:val="18"/>
              </w:rPr>
              <w:t>Indeks (%)</w:t>
            </w:r>
          </w:p>
        </w:tc>
      </w:tr>
      <w:tr w:rsidR="002660AA" w14:paraId="7A1BA5AC" w14:textId="77777777">
        <w:tblPrEx>
          <w:tblCellMar>
            <w:top w:w="0" w:type="dxa"/>
            <w:bottom w:w="0" w:type="dxa"/>
          </w:tblCellMar>
        </w:tblPrEx>
        <w:trPr>
          <w:cantSplit/>
          <w:trHeight w:val="560"/>
        </w:trPr>
        <w:tc>
          <w:tcPr>
            <w:tcW w:w="700" w:type="dxa"/>
            <w:tcMar>
              <w:top w:w="0" w:type="dxa"/>
              <w:bottom w:w="0" w:type="dxa"/>
            </w:tcMar>
            <w:vAlign w:val="center"/>
          </w:tcPr>
          <w:p w14:paraId="0CE50282" w14:textId="77777777" w:rsidR="002660AA" w:rsidRDefault="009B260F">
            <w:pPr>
              <w:keepNext/>
              <w:keepLines/>
              <w:spacing w:after="0" w:line="240" w:lineRule="auto"/>
            </w:pPr>
            <w:r>
              <w:rPr>
                <w:sz w:val="18"/>
              </w:rPr>
              <w:t>6323</w:t>
            </w:r>
          </w:p>
        </w:tc>
        <w:tc>
          <w:tcPr>
            <w:tcW w:w="3180" w:type="dxa"/>
            <w:tcMar>
              <w:top w:w="0" w:type="dxa"/>
              <w:bottom w:w="0" w:type="dxa"/>
            </w:tcMar>
            <w:vAlign w:val="center"/>
          </w:tcPr>
          <w:p w14:paraId="489DFD88" w14:textId="77777777" w:rsidR="002660AA" w:rsidRDefault="009B260F">
            <w:pPr>
              <w:keepNext/>
              <w:keepLines/>
              <w:spacing w:after="0" w:line="240" w:lineRule="auto"/>
            </w:pPr>
            <w:r>
              <w:rPr>
                <w:sz w:val="18"/>
              </w:rPr>
              <w:t>Tekuće pomoći od institucija i tijela EU</w:t>
            </w:r>
          </w:p>
        </w:tc>
        <w:tc>
          <w:tcPr>
            <w:tcW w:w="700" w:type="dxa"/>
            <w:tcMar>
              <w:top w:w="0" w:type="dxa"/>
              <w:bottom w:w="0" w:type="dxa"/>
            </w:tcMar>
            <w:vAlign w:val="center"/>
          </w:tcPr>
          <w:p w14:paraId="70142F1B" w14:textId="77777777" w:rsidR="002660AA" w:rsidRDefault="009B260F">
            <w:pPr>
              <w:keepNext/>
              <w:keepLines/>
              <w:spacing w:after="0" w:line="240" w:lineRule="auto"/>
            </w:pPr>
            <w:r>
              <w:rPr>
                <w:sz w:val="18"/>
              </w:rPr>
              <w:t>6323</w:t>
            </w:r>
          </w:p>
        </w:tc>
        <w:tc>
          <w:tcPr>
            <w:tcW w:w="1860" w:type="dxa"/>
            <w:tcMar>
              <w:top w:w="0" w:type="dxa"/>
              <w:bottom w:w="0" w:type="dxa"/>
            </w:tcMar>
            <w:vAlign w:val="center"/>
          </w:tcPr>
          <w:p w14:paraId="516023CE" w14:textId="77777777" w:rsidR="002660AA" w:rsidRDefault="009B260F">
            <w:pPr>
              <w:keepNext/>
              <w:keepLines/>
              <w:spacing w:after="0" w:line="240" w:lineRule="auto"/>
              <w:jc w:val="right"/>
            </w:pPr>
            <w:r>
              <w:rPr>
                <w:sz w:val="18"/>
              </w:rPr>
              <w:t>114.473,75</w:t>
            </w:r>
          </w:p>
        </w:tc>
        <w:tc>
          <w:tcPr>
            <w:tcW w:w="1860" w:type="dxa"/>
            <w:tcMar>
              <w:top w:w="0" w:type="dxa"/>
              <w:bottom w:w="0" w:type="dxa"/>
            </w:tcMar>
            <w:vAlign w:val="center"/>
          </w:tcPr>
          <w:p w14:paraId="704A7F8F"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750C7619" w14:textId="77777777" w:rsidR="002660AA" w:rsidRDefault="009B260F">
            <w:pPr>
              <w:keepNext/>
              <w:keepLines/>
              <w:spacing w:after="0" w:line="240" w:lineRule="auto"/>
              <w:jc w:val="right"/>
            </w:pPr>
            <w:r>
              <w:rPr>
                <w:sz w:val="18"/>
              </w:rPr>
              <w:t>0</w:t>
            </w:r>
          </w:p>
        </w:tc>
      </w:tr>
    </w:tbl>
    <w:p w14:paraId="11AFBCC9" w14:textId="77777777" w:rsidR="002660AA" w:rsidRDefault="002660AA">
      <w:pPr>
        <w:spacing w:after="0"/>
      </w:pPr>
    </w:p>
    <w:p w14:paraId="1DEA23E4" w14:textId="77777777" w:rsidR="002660AA" w:rsidRDefault="009B260F">
      <w:r>
        <w:t>Tekuće pomoći od institucija i tijela EU realizirane su u iznosu od 114.473,75 EUR tijekom 2024. godine dok tog prihoda nije bilo u prethodnim razdoblju. Na tom odjeljku evidentirale su se uplate ino EU projekata Grada Koprivnice u provedbi. Riječ je o uplatama projekata ReVITAlize i Energy efficient and sustainable City of Koprivnica sukladno odobrenim Zahtjevima na nadoknadom sredstava. </w:t>
      </w:r>
    </w:p>
    <w:p w14:paraId="3A6FB67F" w14:textId="77777777" w:rsidR="002660AA" w:rsidRDefault="002660AA"/>
    <w:p w14:paraId="6AB909B7" w14:textId="77777777" w:rsidR="002660AA" w:rsidRDefault="009B260F">
      <w:pPr>
        <w:keepNext/>
        <w:spacing w:line="240" w:lineRule="auto"/>
        <w:jc w:val="center"/>
      </w:pPr>
      <w:r>
        <w:rPr>
          <w:sz w:val="28"/>
        </w:rPr>
        <w:t>Bilješka 10.</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71122E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7B69AA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358DFF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39445D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A483DC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076814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D4ABBBE" w14:textId="77777777" w:rsidR="002660AA" w:rsidRDefault="009B260F">
            <w:pPr>
              <w:keepNext/>
              <w:keepLines/>
              <w:spacing w:after="0" w:line="240" w:lineRule="auto"/>
              <w:jc w:val="center"/>
            </w:pPr>
            <w:r>
              <w:rPr>
                <w:b/>
                <w:sz w:val="18"/>
              </w:rPr>
              <w:t>Indeks (%)</w:t>
            </w:r>
          </w:p>
        </w:tc>
      </w:tr>
      <w:tr w:rsidR="002660AA" w14:paraId="10301E80" w14:textId="77777777">
        <w:tblPrEx>
          <w:tblCellMar>
            <w:top w:w="0" w:type="dxa"/>
            <w:bottom w:w="0" w:type="dxa"/>
          </w:tblCellMar>
        </w:tblPrEx>
        <w:trPr>
          <w:cantSplit/>
          <w:trHeight w:val="560"/>
        </w:trPr>
        <w:tc>
          <w:tcPr>
            <w:tcW w:w="700" w:type="dxa"/>
            <w:tcMar>
              <w:top w:w="0" w:type="dxa"/>
              <w:bottom w:w="0" w:type="dxa"/>
            </w:tcMar>
            <w:vAlign w:val="center"/>
          </w:tcPr>
          <w:p w14:paraId="4775625E" w14:textId="77777777" w:rsidR="002660AA" w:rsidRDefault="009B260F">
            <w:pPr>
              <w:keepNext/>
              <w:keepLines/>
              <w:spacing w:after="0" w:line="240" w:lineRule="auto"/>
            </w:pPr>
            <w:r>
              <w:rPr>
                <w:sz w:val="18"/>
              </w:rPr>
              <w:t>6324</w:t>
            </w:r>
          </w:p>
        </w:tc>
        <w:tc>
          <w:tcPr>
            <w:tcW w:w="3180" w:type="dxa"/>
            <w:tcMar>
              <w:top w:w="0" w:type="dxa"/>
              <w:bottom w:w="0" w:type="dxa"/>
            </w:tcMar>
            <w:vAlign w:val="center"/>
          </w:tcPr>
          <w:p w14:paraId="7D4B978C" w14:textId="77777777" w:rsidR="002660AA" w:rsidRDefault="009B260F">
            <w:pPr>
              <w:keepNext/>
              <w:keepLines/>
              <w:spacing w:after="0" w:line="240" w:lineRule="auto"/>
            </w:pPr>
            <w:r>
              <w:rPr>
                <w:sz w:val="18"/>
              </w:rPr>
              <w:t>Kapitalne pomoći od institucija i tijela EU</w:t>
            </w:r>
          </w:p>
        </w:tc>
        <w:tc>
          <w:tcPr>
            <w:tcW w:w="700" w:type="dxa"/>
            <w:tcMar>
              <w:top w:w="0" w:type="dxa"/>
              <w:bottom w:w="0" w:type="dxa"/>
            </w:tcMar>
            <w:vAlign w:val="center"/>
          </w:tcPr>
          <w:p w14:paraId="5801C92C" w14:textId="77777777" w:rsidR="002660AA" w:rsidRDefault="009B260F">
            <w:pPr>
              <w:keepNext/>
              <w:keepLines/>
              <w:spacing w:after="0" w:line="240" w:lineRule="auto"/>
            </w:pPr>
            <w:r>
              <w:rPr>
                <w:sz w:val="18"/>
              </w:rPr>
              <w:t>6324</w:t>
            </w:r>
          </w:p>
        </w:tc>
        <w:tc>
          <w:tcPr>
            <w:tcW w:w="1860" w:type="dxa"/>
            <w:tcMar>
              <w:top w:w="0" w:type="dxa"/>
              <w:bottom w:w="0" w:type="dxa"/>
            </w:tcMar>
            <w:vAlign w:val="center"/>
          </w:tcPr>
          <w:p w14:paraId="578F8BCD" w14:textId="77777777" w:rsidR="002660AA" w:rsidRDefault="009B260F">
            <w:pPr>
              <w:keepNext/>
              <w:keepLines/>
              <w:spacing w:after="0" w:line="240" w:lineRule="auto"/>
              <w:jc w:val="right"/>
            </w:pPr>
            <w:r>
              <w:rPr>
                <w:sz w:val="18"/>
              </w:rPr>
              <w:t>216.648,08</w:t>
            </w:r>
          </w:p>
        </w:tc>
        <w:tc>
          <w:tcPr>
            <w:tcW w:w="1860" w:type="dxa"/>
            <w:tcMar>
              <w:top w:w="0" w:type="dxa"/>
              <w:bottom w:w="0" w:type="dxa"/>
            </w:tcMar>
            <w:vAlign w:val="center"/>
          </w:tcPr>
          <w:p w14:paraId="38F32A1D"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63A370ED" w14:textId="77777777" w:rsidR="002660AA" w:rsidRDefault="009B260F">
            <w:pPr>
              <w:keepNext/>
              <w:keepLines/>
              <w:spacing w:after="0" w:line="240" w:lineRule="auto"/>
              <w:jc w:val="right"/>
            </w:pPr>
            <w:r>
              <w:rPr>
                <w:sz w:val="18"/>
              </w:rPr>
              <w:t>0</w:t>
            </w:r>
          </w:p>
        </w:tc>
      </w:tr>
    </w:tbl>
    <w:p w14:paraId="210EC548" w14:textId="77777777" w:rsidR="002660AA" w:rsidRDefault="002660AA">
      <w:pPr>
        <w:spacing w:after="0"/>
      </w:pPr>
    </w:p>
    <w:p w14:paraId="4EB31826" w14:textId="77777777" w:rsidR="002660AA" w:rsidRDefault="009B260F">
      <w:r>
        <w:t>Kapitalne pomoći od institucija i tijela EU realizirane su u iznosu od 216.648,08 EUR tijekom 2024. godine dok tog prihoda nije bilo u prethodnim razdoblju. Riječ je o uplati na ime projekta ReVITAlize koja je pokrila manjkove iz prethodnog razdoblja. Projekt je u međuvremenu završen.</w:t>
      </w:r>
    </w:p>
    <w:p w14:paraId="47B23E19" w14:textId="77777777" w:rsidR="002660AA" w:rsidRDefault="002660AA"/>
    <w:p w14:paraId="1C052C30" w14:textId="77777777" w:rsidR="002660AA" w:rsidRDefault="009B260F">
      <w:pPr>
        <w:keepNext/>
        <w:spacing w:line="240" w:lineRule="auto"/>
        <w:jc w:val="center"/>
      </w:pPr>
      <w:r>
        <w:rPr>
          <w:sz w:val="28"/>
        </w:rPr>
        <w:lastRenderedPageBreak/>
        <w:t>Bilješka 11.</w:t>
      </w:r>
    </w:p>
    <w:tbl>
      <w:tblPr>
        <w:tblW w:w="9000" w:type="dxa"/>
        <w:tblInd w:w="40"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2BD1A2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D7CDE8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A7146D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6B6AA1A"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A869A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FEB27E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B67A8A2" w14:textId="77777777" w:rsidR="002660AA" w:rsidRDefault="009B260F">
            <w:pPr>
              <w:keepNext/>
              <w:keepLines/>
              <w:spacing w:after="0" w:line="240" w:lineRule="auto"/>
              <w:jc w:val="center"/>
            </w:pPr>
            <w:r>
              <w:rPr>
                <w:b/>
                <w:sz w:val="18"/>
              </w:rPr>
              <w:t>Indeks (%)</w:t>
            </w:r>
          </w:p>
        </w:tc>
      </w:tr>
      <w:tr w:rsidR="002660AA" w14:paraId="22A217EC" w14:textId="77777777">
        <w:tblPrEx>
          <w:tblCellMar>
            <w:top w:w="0" w:type="dxa"/>
            <w:bottom w:w="0" w:type="dxa"/>
          </w:tblCellMar>
        </w:tblPrEx>
        <w:trPr>
          <w:cantSplit/>
          <w:trHeight w:val="560"/>
        </w:trPr>
        <w:tc>
          <w:tcPr>
            <w:tcW w:w="700" w:type="dxa"/>
            <w:tcMar>
              <w:top w:w="0" w:type="dxa"/>
              <w:bottom w:w="0" w:type="dxa"/>
            </w:tcMar>
            <w:vAlign w:val="center"/>
          </w:tcPr>
          <w:p w14:paraId="0BA13911" w14:textId="77777777" w:rsidR="002660AA" w:rsidRDefault="009B260F">
            <w:pPr>
              <w:keepNext/>
              <w:keepLines/>
              <w:spacing w:after="0" w:line="240" w:lineRule="auto"/>
            </w:pPr>
            <w:r>
              <w:rPr>
                <w:sz w:val="18"/>
              </w:rPr>
              <w:t>6331</w:t>
            </w:r>
          </w:p>
        </w:tc>
        <w:tc>
          <w:tcPr>
            <w:tcW w:w="3180" w:type="dxa"/>
            <w:tcMar>
              <w:top w:w="0" w:type="dxa"/>
              <w:bottom w:w="0" w:type="dxa"/>
            </w:tcMar>
            <w:vAlign w:val="center"/>
          </w:tcPr>
          <w:p w14:paraId="4316EE0F" w14:textId="77777777" w:rsidR="002660AA" w:rsidRDefault="009B260F">
            <w:pPr>
              <w:keepNext/>
              <w:keepLines/>
              <w:spacing w:after="0" w:line="240" w:lineRule="auto"/>
            </w:pPr>
            <w:r>
              <w:rPr>
                <w:sz w:val="18"/>
              </w:rPr>
              <w:t>Tekuće pomoći proračunu i izvanproračunskim korisnicima iz drugih proračuna</w:t>
            </w:r>
          </w:p>
        </w:tc>
        <w:tc>
          <w:tcPr>
            <w:tcW w:w="700" w:type="dxa"/>
            <w:tcMar>
              <w:top w:w="0" w:type="dxa"/>
              <w:bottom w:w="0" w:type="dxa"/>
            </w:tcMar>
            <w:vAlign w:val="center"/>
          </w:tcPr>
          <w:p w14:paraId="61B787B8" w14:textId="77777777" w:rsidR="002660AA" w:rsidRDefault="009B260F">
            <w:pPr>
              <w:keepNext/>
              <w:keepLines/>
              <w:spacing w:after="0" w:line="240" w:lineRule="auto"/>
            </w:pPr>
            <w:r>
              <w:rPr>
                <w:sz w:val="18"/>
              </w:rPr>
              <w:t>6331</w:t>
            </w:r>
          </w:p>
        </w:tc>
        <w:tc>
          <w:tcPr>
            <w:tcW w:w="1860" w:type="dxa"/>
            <w:tcMar>
              <w:top w:w="0" w:type="dxa"/>
              <w:bottom w:w="0" w:type="dxa"/>
            </w:tcMar>
            <w:vAlign w:val="center"/>
          </w:tcPr>
          <w:p w14:paraId="58DE889E" w14:textId="77777777" w:rsidR="002660AA" w:rsidRDefault="009B260F">
            <w:pPr>
              <w:keepNext/>
              <w:keepLines/>
              <w:spacing w:after="0" w:line="240" w:lineRule="auto"/>
              <w:jc w:val="right"/>
            </w:pPr>
            <w:r>
              <w:rPr>
                <w:sz w:val="18"/>
              </w:rPr>
              <w:t>819.663,88</w:t>
            </w:r>
          </w:p>
        </w:tc>
        <w:tc>
          <w:tcPr>
            <w:tcW w:w="1860" w:type="dxa"/>
            <w:tcMar>
              <w:top w:w="0" w:type="dxa"/>
              <w:bottom w:w="0" w:type="dxa"/>
            </w:tcMar>
            <w:vAlign w:val="center"/>
          </w:tcPr>
          <w:p w14:paraId="6C2BE904" w14:textId="77777777" w:rsidR="002660AA" w:rsidRDefault="009B260F">
            <w:pPr>
              <w:keepNext/>
              <w:keepLines/>
              <w:spacing w:after="0" w:line="240" w:lineRule="auto"/>
              <w:jc w:val="right"/>
            </w:pPr>
            <w:r>
              <w:rPr>
                <w:sz w:val="18"/>
              </w:rPr>
              <w:t>613.041,47</w:t>
            </w:r>
          </w:p>
        </w:tc>
        <w:tc>
          <w:tcPr>
            <w:tcW w:w="700" w:type="dxa"/>
            <w:tcMar>
              <w:top w:w="0" w:type="dxa"/>
              <w:bottom w:w="0" w:type="dxa"/>
            </w:tcMar>
            <w:vAlign w:val="center"/>
          </w:tcPr>
          <w:p w14:paraId="6B973390" w14:textId="77777777" w:rsidR="002660AA" w:rsidRDefault="009B260F">
            <w:pPr>
              <w:keepNext/>
              <w:keepLines/>
              <w:spacing w:after="0" w:line="240" w:lineRule="auto"/>
              <w:jc w:val="right"/>
            </w:pPr>
            <w:r>
              <w:rPr>
                <w:sz w:val="18"/>
              </w:rPr>
              <w:t>74,8</w:t>
            </w:r>
          </w:p>
        </w:tc>
      </w:tr>
    </w:tbl>
    <w:p w14:paraId="3F7C6EE8" w14:textId="77777777" w:rsidR="002660AA" w:rsidRDefault="002660AA">
      <w:pPr>
        <w:spacing w:after="0"/>
      </w:pPr>
    </w:p>
    <w:p w14:paraId="23B7A0A3" w14:textId="77777777" w:rsidR="002660AA" w:rsidRDefault="009B260F">
      <w:r>
        <w:t>Tekuće pomoći proračunu iz drugih proračuna ostvarene su za 25,2 posto manje u odnosu na prethodnu 2024. godinu. Pad se bilježi se su se tijekom 2024. godine ostvarila značajna sredstva za provođenje CDŠ-a u Osnovnoj školi „Podolice“. Grad je također promijenio konto knjiženja nacionalnog sufinanciranja određenih projekata sa 6331 na 6381 što je posljedično dovelo do manje realizacije ovog prihoda u 2025. godini.</w:t>
      </w:r>
    </w:p>
    <w:p w14:paraId="569A4556" w14:textId="77777777" w:rsidR="002660AA" w:rsidRDefault="002660AA"/>
    <w:p w14:paraId="7762CFF4" w14:textId="77777777" w:rsidR="002660AA" w:rsidRDefault="009B260F">
      <w:pPr>
        <w:keepNext/>
        <w:spacing w:line="240" w:lineRule="auto"/>
        <w:jc w:val="center"/>
      </w:pPr>
      <w:r>
        <w:rPr>
          <w:sz w:val="28"/>
        </w:rPr>
        <w:t>Bilješka 12.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DAA569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4D0AA12"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41933B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5E15EF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204731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FC0C30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107A74F" w14:textId="77777777" w:rsidR="002660AA" w:rsidRDefault="009B260F">
            <w:pPr>
              <w:keepNext/>
              <w:keepLines/>
              <w:spacing w:after="0" w:line="240" w:lineRule="auto"/>
              <w:jc w:val="center"/>
            </w:pPr>
            <w:r>
              <w:rPr>
                <w:b/>
                <w:sz w:val="18"/>
              </w:rPr>
              <w:t>Indeks (%)</w:t>
            </w:r>
          </w:p>
        </w:tc>
      </w:tr>
      <w:tr w:rsidR="002660AA" w14:paraId="36BF882C" w14:textId="77777777">
        <w:tblPrEx>
          <w:tblCellMar>
            <w:top w:w="0" w:type="dxa"/>
            <w:bottom w:w="0" w:type="dxa"/>
          </w:tblCellMar>
        </w:tblPrEx>
        <w:trPr>
          <w:cantSplit/>
          <w:trHeight w:val="560"/>
        </w:trPr>
        <w:tc>
          <w:tcPr>
            <w:tcW w:w="700" w:type="dxa"/>
            <w:tcMar>
              <w:top w:w="0" w:type="dxa"/>
              <w:bottom w:w="0" w:type="dxa"/>
            </w:tcMar>
            <w:vAlign w:val="center"/>
          </w:tcPr>
          <w:p w14:paraId="7AC8D756" w14:textId="77777777" w:rsidR="002660AA" w:rsidRDefault="009B260F">
            <w:pPr>
              <w:keepNext/>
              <w:keepLines/>
              <w:spacing w:after="0" w:line="240" w:lineRule="auto"/>
            </w:pPr>
            <w:r>
              <w:rPr>
                <w:sz w:val="18"/>
              </w:rPr>
              <w:t>6341</w:t>
            </w:r>
          </w:p>
        </w:tc>
        <w:tc>
          <w:tcPr>
            <w:tcW w:w="3180" w:type="dxa"/>
            <w:tcMar>
              <w:top w:w="0" w:type="dxa"/>
              <w:bottom w:w="0" w:type="dxa"/>
            </w:tcMar>
            <w:vAlign w:val="center"/>
          </w:tcPr>
          <w:p w14:paraId="05FA0172" w14:textId="77777777" w:rsidR="002660AA" w:rsidRDefault="009B260F">
            <w:pPr>
              <w:keepNext/>
              <w:keepLines/>
              <w:spacing w:after="0" w:line="240" w:lineRule="auto"/>
            </w:pPr>
            <w:r>
              <w:rPr>
                <w:sz w:val="18"/>
              </w:rPr>
              <w:t>Tekuće pomoći od izvanproračunskih korisnika</w:t>
            </w:r>
          </w:p>
        </w:tc>
        <w:tc>
          <w:tcPr>
            <w:tcW w:w="700" w:type="dxa"/>
            <w:tcMar>
              <w:top w:w="0" w:type="dxa"/>
              <w:bottom w:w="0" w:type="dxa"/>
            </w:tcMar>
            <w:vAlign w:val="center"/>
          </w:tcPr>
          <w:p w14:paraId="631627FC" w14:textId="77777777" w:rsidR="002660AA" w:rsidRDefault="009B260F">
            <w:pPr>
              <w:keepNext/>
              <w:keepLines/>
              <w:spacing w:after="0" w:line="240" w:lineRule="auto"/>
            </w:pPr>
            <w:r>
              <w:rPr>
                <w:sz w:val="18"/>
              </w:rPr>
              <w:t>6341</w:t>
            </w:r>
          </w:p>
        </w:tc>
        <w:tc>
          <w:tcPr>
            <w:tcW w:w="1860" w:type="dxa"/>
            <w:tcMar>
              <w:top w:w="0" w:type="dxa"/>
              <w:bottom w:w="0" w:type="dxa"/>
            </w:tcMar>
            <w:vAlign w:val="center"/>
          </w:tcPr>
          <w:p w14:paraId="6408E9E1" w14:textId="77777777" w:rsidR="002660AA" w:rsidRDefault="009B260F">
            <w:pPr>
              <w:keepNext/>
              <w:keepLines/>
              <w:spacing w:after="0" w:line="240" w:lineRule="auto"/>
              <w:jc w:val="right"/>
            </w:pPr>
            <w:r>
              <w:rPr>
                <w:sz w:val="18"/>
              </w:rPr>
              <w:t>333.199,85</w:t>
            </w:r>
          </w:p>
        </w:tc>
        <w:tc>
          <w:tcPr>
            <w:tcW w:w="1860" w:type="dxa"/>
            <w:tcMar>
              <w:top w:w="0" w:type="dxa"/>
              <w:bottom w:w="0" w:type="dxa"/>
            </w:tcMar>
            <w:vAlign w:val="center"/>
          </w:tcPr>
          <w:p w14:paraId="450135D4" w14:textId="77777777" w:rsidR="002660AA" w:rsidRDefault="009B260F">
            <w:pPr>
              <w:keepNext/>
              <w:keepLines/>
              <w:spacing w:after="0" w:line="240" w:lineRule="auto"/>
              <w:jc w:val="right"/>
            </w:pPr>
            <w:r>
              <w:rPr>
                <w:sz w:val="18"/>
              </w:rPr>
              <w:t>421.419,98</w:t>
            </w:r>
          </w:p>
        </w:tc>
        <w:tc>
          <w:tcPr>
            <w:tcW w:w="700" w:type="dxa"/>
            <w:tcMar>
              <w:top w:w="0" w:type="dxa"/>
              <w:bottom w:w="0" w:type="dxa"/>
            </w:tcMar>
            <w:vAlign w:val="center"/>
          </w:tcPr>
          <w:p w14:paraId="5A7ADEBB" w14:textId="77777777" w:rsidR="002660AA" w:rsidRDefault="009B260F">
            <w:pPr>
              <w:keepNext/>
              <w:keepLines/>
              <w:spacing w:after="0" w:line="240" w:lineRule="auto"/>
              <w:jc w:val="right"/>
            </w:pPr>
            <w:r>
              <w:rPr>
                <w:sz w:val="18"/>
              </w:rPr>
              <w:t>126,5</w:t>
            </w:r>
          </w:p>
        </w:tc>
      </w:tr>
    </w:tbl>
    <w:p w14:paraId="6CD7CA76" w14:textId="77777777" w:rsidR="002660AA" w:rsidRDefault="002660AA">
      <w:pPr>
        <w:spacing w:after="0"/>
      </w:pPr>
    </w:p>
    <w:p w14:paraId="2D7EFFD6" w14:textId="77777777" w:rsidR="002660AA" w:rsidRDefault="009B260F">
      <w:r>
        <w:t>Tekuće pomoći od izvanproračunskih korisnika bilježe rast od 26,5 posto što je posljedica većih uplata za Hrvatskog zavoda za zapošljavanje za program javnih radova.</w:t>
      </w:r>
    </w:p>
    <w:p w14:paraId="7C298F07" w14:textId="77777777" w:rsidR="002660AA" w:rsidRDefault="002660AA"/>
    <w:p w14:paraId="6160FB06" w14:textId="77777777" w:rsidR="002660AA" w:rsidRDefault="009B260F">
      <w:pPr>
        <w:keepNext/>
        <w:spacing w:line="240" w:lineRule="auto"/>
        <w:jc w:val="center"/>
      </w:pPr>
      <w:r>
        <w:rPr>
          <w:sz w:val="28"/>
        </w:rPr>
        <w:t>Bilješka 13.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3758AE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08AFC3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EFA4DB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384B58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535F26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1A085B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636E82B" w14:textId="77777777" w:rsidR="002660AA" w:rsidRDefault="009B260F">
            <w:pPr>
              <w:keepNext/>
              <w:keepLines/>
              <w:spacing w:after="0" w:line="240" w:lineRule="auto"/>
              <w:jc w:val="center"/>
            </w:pPr>
            <w:r>
              <w:rPr>
                <w:b/>
                <w:sz w:val="18"/>
              </w:rPr>
              <w:t>Indeks (%)</w:t>
            </w:r>
          </w:p>
        </w:tc>
      </w:tr>
      <w:tr w:rsidR="002660AA" w14:paraId="5F1BAEDA" w14:textId="77777777">
        <w:tblPrEx>
          <w:tblCellMar>
            <w:top w:w="0" w:type="dxa"/>
            <w:bottom w:w="0" w:type="dxa"/>
          </w:tblCellMar>
        </w:tblPrEx>
        <w:trPr>
          <w:cantSplit/>
          <w:trHeight w:val="560"/>
        </w:trPr>
        <w:tc>
          <w:tcPr>
            <w:tcW w:w="700" w:type="dxa"/>
            <w:tcMar>
              <w:top w:w="0" w:type="dxa"/>
              <w:bottom w:w="0" w:type="dxa"/>
            </w:tcMar>
            <w:vAlign w:val="center"/>
          </w:tcPr>
          <w:p w14:paraId="0F5F3649" w14:textId="77777777" w:rsidR="002660AA" w:rsidRDefault="009B260F">
            <w:pPr>
              <w:keepNext/>
              <w:keepLines/>
              <w:spacing w:after="0" w:line="240" w:lineRule="auto"/>
            </w:pPr>
            <w:r>
              <w:rPr>
                <w:sz w:val="18"/>
              </w:rPr>
              <w:t>6342</w:t>
            </w:r>
          </w:p>
        </w:tc>
        <w:tc>
          <w:tcPr>
            <w:tcW w:w="3180" w:type="dxa"/>
            <w:tcMar>
              <w:top w:w="0" w:type="dxa"/>
              <w:bottom w:w="0" w:type="dxa"/>
            </w:tcMar>
            <w:vAlign w:val="center"/>
          </w:tcPr>
          <w:p w14:paraId="52B24AFC" w14:textId="77777777" w:rsidR="002660AA" w:rsidRDefault="009B260F">
            <w:pPr>
              <w:keepNext/>
              <w:keepLines/>
              <w:spacing w:after="0" w:line="240" w:lineRule="auto"/>
            </w:pPr>
            <w:r>
              <w:rPr>
                <w:sz w:val="18"/>
              </w:rPr>
              <w:t>Kapitalne pomoći od izvanproračunskih korisnika</w:t>
            </w:r>
          </w:p>
        </w:tc>
        <w:tc>
          <w:tcPr>
            <w:tcW w:w="700" w:type="dxa"/>
            <w:tcMar>
              <w:top w:w="0" w:type="dxa"/>
              <w:bottom w:w="0" w:type="dxa"/>
            </w:tcMar>
            <w:vAlign w:val="center"/>
          </w:tcPr>
          <w:p w14:paraId="1CF395CB" w14:textId="77777777" w:rsidR="002660AA" w:rsidRDefault="009B260F">
            <w:pPr>
              <w:keepNext/>
              <w:keepLines/>
              <w:spacing w:after="0" w:line="240" w:lineRule="auto"/>
            </w:pPr>
            <w:r>
              <w:rPr>
                <w:sz w:val="18"/>
              </w:rPr>
              <w:t>6342</w:t>
            </w:r>
          </w:p>
        </w:tc>
        <w:tc>
          <w:tcPr>
            <w:tcW w:w="1860" w:type="dxa"/>
            <w:tcMar>
              <w:top w:w="0" w:type="dxa"/>
              <w:bottom w:w="0" w:type="dxa"/>
            </w:tcMar>
            <w:vAlign w:val="center"/>
          </w:tcPr>
          <w:p w14:paraId="47C643F8" w14:textId="77777777" w:rsidR="002660AA" w:rsidRDefault="009B260F">
            <w:pPr>
              <w:keepNext/>
              <w:keepLines/>
              <w:spacing w:after="0" w:line="240" w:lineRule="auto"/>
              <w:jc w:val="right"/>
            </w:pPr>
            <w:r>
              <w:rPr>
                <w:sz w:val="18"/>
              </w:rPr>
              <w:t>13.099,74</w:t>
            </w:r>
          </w:p>
        </w:tc>
        <w:tc>
          <w:tcPr>
            <w:tcW w:w="1860" w:type="dxa"/>
            <w:tcMar>
              <w:top w:w="0" w:type="dxa"/>
              <w:bottom w:w="0" w:type="dxa"/>
            </w:tcMar>
            <w:vAlign w:val="center"/>
          </w:tcPr>
          <w:p w14:paraId="1C2A55EA" w14:textId="77777777" w:rsidR="002660AA" w:rsidRDefault="009B260F">
            <w:pPr>
              <w:keepNext/>
              <w:keepLines/>
              <w:spacing w:after="0" w:line="240" w:lineRule="auto"/>
              <w:jc w:val="right"/>
            </w:pPr>
            <w:r>
              <w:rPr>
                <w:sz w:val="18"/>
              </w:rPr>
              <w:t>430.246,71</w:t>
            </w:r>
          </w:p>
        </w:tc>
        <w:tc>
          <w:tcPr>
            <w:tcW w:w="700" w:type="dxa"/>
            <w:tcMar>
              <w:top w:w="0" w:type="dxa"/>
              <w:bottom w:w="0" w:type="dxa"/>
            </w:tcMar>
            <w:vAlign w:val="center"/>
          </w:tcPr>
          <w:p w14:paraId="1F2EBD2A" w14:textId="77777777" w:rsidR="002660AA" w:rsidRDefault="009B260F">
            <w:pPr>
              <w:keepNext/>
              <w:keepLines/>
              <w:spacing w:after="0" w:line="240" w:lineRule="auto"/>
              <w:jc w:val="right"/>
            </w:pPr>
            <w:r>
              <w:rPr>
                <w:sz w:val="18"/>
              </w:rPr>
              <w:t>3284,4</w:t>
            </w:r>
          </w:p>
        </w:tc>
      </w:tr>
    </w:tbl>
    <w:p w14:paraId="440FBCAF" w14:textId="77777777" w:rsidR="002660AA" w:rsidRDefault="002660AA">
      <w:pPr>
        <w:spacing w:after="0"/>
      </w:pPr>
    </w:p>
    <w:p w14:paraId="2AC65719" w14:textId="77777777" w:rsidR="002660AA" w:rsidRDefault="009B260F">
      <w:r>
        <w:t>Bilježi se značajni rast u apsolutnom iznosu od 417.146,97 EUR. Ostvarene su uplate od Fonda za zaštitu okoliša i energetsku učinkovitost i to na ime projekata "Sufinanciranje prilagođavanje klimatskim promjenama - projekt izgradnje pješačko biciklističke staze Draganovec-Štaglinec" te izgradnje pješačko biciklističke staze u Cvjetnoj ulici.</w:t>
      </w:r>
    </w:p>
    <w:p w14:paraId="1608258A" w14:textId="77777777" w:rsidR="002660AA" w:rsidRDefault="002660AA"/>
    <w:p w14:paraId="5194CF3C" w14:textId="77777777" w:rsidR="002660AA" w:rsidRDefault="009B260F">
      <w:pPr>
        <w:keepNext/>
        <w:spacing w:line="240" w:lineRule="auto"/>
        <w:jc w:val="center"/>
      </w:pPr>
      <w:r>
        <w:rPr>
          <w:sz w:val="28"/>
        </w:rPr>
        <w:t>Bilješka 14.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06232A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4DF222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F2E784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4C91F8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2CB287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6DBBCA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6E09288" w14:textId="77777777" w:rsidR="002660AA" w:rsidRDefault="009B260F">
            <w:pPr>
              <w:keepNext/>
              <w:keepLines/>
              <w:spacing w:after="0" w:line="240" w:lineRule="auto"/>
              <w:jc w:val="center"/>
            </w:pPr>
            <w:r>
              <w:rPr>
                <w:b/>
                <w:sz w:val="18"/>
              </w:rPr>
              <w:t>Indeks (%)</w:t>
            </w:r>
          </w:p>
        </w:tc>
      </w:tr>
      <w:tr w:rsidR="002660AA" w14:paraId="04AEC7A6" w14:textId="77777777">
        <w:tblPrEx>
          <w:tblCellMar>
            <w:top w:w="0" w:type="dxa"/>
            <w:bottom w:w="0" w:type="dxa"/>
          </w:tblCellMar>
        </w:tblPrEx>
        <w:trPr>
          <w:cantSplit/>
          <w:trHeight w:val="560"/>
        </w:trPr>
        <w:tc>
          <w:tcPr>
            <w:tcW w:w="700" w:type="dxa"/>
            <w:tcMar>
              <w:top w:w="0" w:type="dxa"/>
              <w:bottom w:w="0" w:type="dxa"/>
            </w:tcMar>
            <w:vAlign w:val="center"/>
          </w:tcPr>
          <w:p w14:paraId="223E73A2" w14:textId="77777777" w:rsidR="002660AA" w:rsidRDefault="009B260F">
            <w:pPr>
              <w:keepNext/>
              <w:keepLines/>
              <w:spacing w:after="0" w:line="240" w:lineRule="auto"/>
            </w:pPr>
            <w:r>
              <w:rPr>
                <w:sz w:val="18"/>
              </w:rPr>
              <w:t>6381</w:t>
            </w:r>
          </w:p>
        </w:tc>
        <w:tc>
          <w:tcPr>
            <w:tcW w:w="3180" w:type="dxa"/>
            <w:tcMar>
              <w:top w:w="0" w:type="dxa"/>
              <w:bottom w:w="0" w:type="dxa"/>
            </w:tcMar>
            <w:vAlign w:val="center"/>
          </w:tcPr>
          <w:p w14:paraId="50E6D974" w14:textId="77777777" w:rsidR="002660AA" w:rsidRDefault="009B260F">
            <w:pPr>
              <w:keepNext/>
              <w:keepLines/>
              <w:spacing w:after="0" w:line="240" w:lineRule="auto"/>
            </w:pPr>
            <w:r>
              <w:rPr>
                <w:sz w:val="18"/>
              </w:rPr>
              <w:t>Tekuće pomoći temeljem prijenosa EU sredstava</w:t>
            </w:r>
          </w:p>
        </w:tc>
        <w:tc>
          <w:tcPr>
            <w:tcW w:w="700" w:type="dxa"/>
            <w:tcMar>
              <w:top w:w="0" w:type="dxa"/>
              <w:bottom w:w="0" w:type="dxa"/>
            </w:tcMar>
            <w:vAlign w:val="center"/>
          </w:tcPr>
          <w:p w14:paraId="43311B8B" w14:textId="77777777" w:rsidR="002660AA" w:rsidRDefault="009B260F">
            <w:pPr>
              <w:keepNext/>
              <w:keepLines/>
              <w:spacing w:after="0" w:line="240" w:lineRule="auto"/>
            </w:pPr>
            <w:r>
              <w:rPr>
                <w:sz w:val="18"/>
              </w:rPr>
              <w:t>6381</w:t>
            </w:r>
          </w:p>
        </w:tc>
        <w:tc>
          <w:tcPr>
            <w:tcW w:w="1860" w:type="dxa"/>
            <w:tcMar>
              <w:top w:w="0" w:type="dxa"/>
              <w:bottom w:w="0" w:type="dxa"/>
            </w:tcMar>
            <w:vAlign w:val="center"/>
          </w:tcPr>
          <w:p w14:paraId="4DFA8C9F" w14:textId="77777777" w:rsidR="002660AA" w:rsidRDefault="009B260F">
            <w:pPr>
              <w:keepNext/>
              <w:keepLines/>
              <w:spacing w:after="0" w:line="240" w:lineRule="auto"/>
              <w:jc w:val="right"/>
            </w:pPr>
            <w:r>
              <w:rPr>
                <w:sz w:val="18"/>
              </w:rPr>
              <w:t>221.394,14</w:t>
            </w:r>
          </w:p>
        </w:tc>
        <w:tc>
          <w:tcPr>
            <w:tcW w:w="1860" w:type="dxa"/>
            <w:tcMar>
              <w:top w:w="0" w:type="dxa"/>
              <w:bottom w:w="0" w:type="dxa"/>
            </w:tcMar>
            <w:vAlign w:val="center"/>
          </w:tcPr>
          <w:p w14:paraId="1FF18389" w14:textId="77777777" w:rsidR="002660AA" w:rsidRDefault="009B260F">
            <w:pPr>
              <w:keepNext/>
              <w:keepLines/>
              <w:spacing w:after="0" w:line="240" w:lineRule="auto"/>
              <w:jc w:val="right"/>
            </w:pPr>
            <w:r>
              <w:rPr>
                <w:sz w:val="18"/>
              </w:rPr>
              <w:t>466.374,54</w:t>
            </w:r>
          </w:p>
        </w:tc>
        <w:tc>
          <w:tcPr>
            <w:tcW w:w="700" w:type="dxa"/>
            <w:tcMar>
              <w:top w:w="0" w:type="dxa"/>
              <w:bottom w:w="0" w:type="dxa"/>
            </w:tcMar>
            <w:vAlign w:val="center"/>
          </w:tcPr>
          <w:p w14:paraId="0F4FD519" w14:textId="77777777" w:rsidR="002660AA" w:rsidRDefault="009B260F">
            <w:pPr>
              <w:keepNext/>
              <w:keepLines/>
              <w:spacing w:after="0" w:line="240" w:lineRule="auto"/>
              <w:jc w:val="right"/>
            </w:pPr>
            <w:r>
              <w:rPr>
                <w:sz w:val="18"/>
              </w:rPr>
              <w:t>210,7</w:t>
            </w:r>
          </w:p>
        </w:tc>
      </w:tr>
    </w:tbl>
    <w:p w14:paraId="402DDB2F" w14:textId="77777777" w:rsidR="002660AA" w:rsidRDefault="002660AA">
      <w:pPr>
        <w:spacing w:after="0"/>
      </w:pPr>
    </w:p>
    <w:p w14:paraId="3A3E7689" w14:textId="77777777" w:rsidR="002660AA" w:rsidRDefault="009B260F">
      <w:r>
        <w:t>Tekuće pomoći temeljem prijenosa EU sredstava bilježe rast od 110,7 posto. Posljedica je to promjene knjiženja nacionalnog sufinanciranja određenih projekata sa 6331 na 6381 što je posljedično dovelo do veće realizacije ovog prihoda u 2025. godini. Ostvarene su i tekuće uplate iz NPOO projekata u provedbi u iznosu od 48.107,06 EUR dok je za tehničku pomoć ITU mehanizma ostvarena uplata od 73.700,37 EUR. </w:t>
      </w:r>
    </w:p>
    <w:p w14:paraId="09564528" w14:textId="77777777" w:rsidR="002660AA" w:rsidRDefault="002660AA"/>
    <w:p w14:paraId="4DA7CBC6" w14:textId="77777777" w:rsidR="002660AA" w:rsidRDefault="009B260F">
      <w:pPr>
        <w:keepNext/>
        <w:spacing w:line="240" w:lineRule="auto"/>
        <w:jc w:val="center"/>
      </w:pPr>
      <w:r>
        <w:rPr>
          <w:sz w:val="28"/>
        </w:rPr>
        <w:t>Bilješka 15.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F0AD29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941464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83188A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F54425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E82BF8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8F989E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82C8583" w14:textId="77777777" w:rsidR="002660AA" w:rsidRDefault="009B260F">
            <w:pPr>
              <w:keepNext/>
              <w:keepLines/>
              <w:spacing w:after="0" w:line="240" w:lineRule="auto"/>
              <w:jc w:val="center"/>
            </w:pPr>
            <w:r>
              <w:rPr>
                <w:b/>
                <w:sz w:val="18"/>
              </w:rPr>
              <w:t>Indeks (%)</w:t>
            </w:r>
          </w:p>
        </w:tc>
      </w:tr>
      <w:tr w:rsidR="002660AA" w14:paraId="218F1F7F" w14:textId="77777777">
        <w:tblPrEx>
          <w:tblCellMar>
            <w:top w:w="0" w:type="dxa"/>
            <w:bottom w:w="0" w:type="dxa"/>
          </w:tblCellMar>
        </w:tblPrEx>
        <w:trPr>
          <w:cantSplit/>
          <w:trHeight w:val="560"/>
        </w:trPr>
        <w:tc>
          <w:tcPr>
            <w:tcW w:w="700" w:type="dxa"/>
            <w:tcMar>
              <w:top w:w="0" w:type="dxa"/>
              <w:bottom w:w="0" w:type="dxa"/>
            </w:tcMar>
            <w:vAlign w:val="center"/>
          </w:tcPr>
          <w:p w14:paraId="7D3D1F06" w14:textId="77777777" w:rsidR="002660AA" w:rsidRDefault="009B260F">
            <w:pPr>
              <w:keepNext/>
              <w:keepLines/>
              <w:spacing w:after="0" w:line="240" w:lineRule="auto"/>
            </w:pPr>
            <w:r>
              <w:rPr>
                <w:sz w:val="18"/>
              </w:rPr>
              <w:t>6382</w:t>
            </w:r>
          </w:p>
        </w:tc>
        <w:tc>
          <w:tcPr>
            <w:tcW w:w="3180" w:type="dxa"/>
            <w:tcMar>
              <w:top w:w="0" w:type="dxa"/>
              <w:bottom w:w="0" w:type="dxa"/>
            </w:tcMar>
            <w:vAlign w:val="center"/>
          </w:tcPr>
          <w:p w14:paraId="2CDC3047" w14:textId="77777777" w:rsidR="002660AA" w:rsidRDefault="009B260F">
            <w:pPr>
              <w:keepNext/>
              <w:keepLines/>
              <w:spacing w:after="0" w:line="240" w:lineRule="auto"/>
            </w:pPr>
            <w:r>
              <w:rPr>
                <w:sz w:val="18"/>
              </w:rPr>
              <w:t>Kapitalne pomoći temeljem prijenosa EU sredstava</w:t>
            </w:r>
          </w:p>
        </w:tc>
        <w:tc>
          <w:tcPr>
            <w:tcW w:w="700" w:type="dxa"/>
            <w:tcMar>
              <w:top w:w="0" w:type="dxa"/>
              <w:bottom w:w="0" w:type="dxa"/>
            </w:tcMar>
            <w:vAlign w:val="center"/>
          </w:tcPr>
          <w:p w14:paraId="1634DA74" w14:textId="77777777" w:rsidR="002660AA" w:rsidRDefault="009B260F">
            <w:pPr>
              <w:keepNext/>
              <w:keepLines/>
              <w:spacing w:after="0" w:line="240" w:lineRule="auto"/>
            </w:pPr>
            <w:r>
              <w:rPr>
                <w:sz w:val="18"/>
              </w:rPr>
              <w:t>6382</w:t>
            </w:r>
          </w:p>
        </w:tc>
        <w:tc>
          <w:tcPr>
            <w:tcW w:w="1860" w:type="dxa"/>
            <w:tcMar>
              <w:top w:w="0" w:type="dxa"/>
              <w:bottom w:w="0" w:type="dxa"/>
            </w:tcMar>
            <w:vAlign w:val="center"/>
          </w:tcPr>
          <w:p w14:paraId="04AD52A3" w14:textId="77777777" w:rsidR="002660AA" w:rsidRDefault="009B260F">
            <w:pPr>
              <w:keepNext/>
              <w:keepLines/>
              <w:spacing w:after="0" w:line="240" w:lineRule="auto"/>
              <w:jc w:val="right"/>
            </w:pPr>
            <w:r>
              <w:rPr>
                <w:sz w:val="18"/>
              </w:rPr>
              <w:t>740.572,18</w:t>
            </w:r>
          </w:p>
        </w:tc>
        <w:tc>
          <w:tcPr>
            <w:tcW w:w="1860" w:type="dxa"/>
            <w:tcMar>
              <w:top w:w="0" w:type="dxa"/>
              <w:bottom w:w="0" w:type="dxa"/>
            </w:tcMar>
            <w:vAlign w:val="center"/>
          </w:tcPr>
          <w:p w14:paraId="0847D710" w14:textId="77777777" w:rsidR="002660AA" w:rsidRDefault="009B260F">
            <w:pPr>
              <w:keepNext/>
              <w:keepLines/>
              <w:spacing w:after="0" w:line="240" w:lineRule="auto"/>
              <w:jc w:val="right"/>
            </w:pPr>
            <w:r>
              <w:rPr>
                <w:sz w:val="18"/>
              </w:rPr>
              <w:t>5.107.236,29</w:t>
            </w:r>
          </w:p>
        </w:tc>
        <w:tc>
          <w:tcPr>
            <w:tcW w:w="700" w:type="dxa"/>
            <w:tcMar>
              <w:top w:w="0" w:type="dxa"/>
              <w:bottom w:w="0" w:type="dxa"/>
            </w:tcMar>
            <w:vAlign w:val="center"/>
          </w:tcPr>
          <w:p w14:paraId="47123BDB" w14:textId="77777777" w:rsidR="002660AA" w:rsidRDefault="009B260F">
            <w:pPr>
              <w:keepNext/>
              <w:keepLines/>
              <w:spacing w:after="0" w:line="240" w:lineRule="auto"/>
              <w:jc w:val="right"/>
            </w:pPr>
            <w:r>
              <w:rPr>
                <w:sz w:val="18"/>
              </w:rPr>
              <w:t>689,6</w:t>
            </w:r>
          </w:p>
        </w:tc>
      </w:tr>
    </w:tbl>
    <w:p w14:paraId="0AB803F0" w14:textId="77777777" w:rsidR="002660AA" w:rsidRDefault="002660AA">
      <w:pPr>
        <w:spacing w:after="0"/>
      </w:pPr>
    </w:p>
    <w:p w14:paraId="507BB586" w14:textId="77777777" w:rsidR="002660AA" w:rsidRDefault="009B260F">
      <w:r>
        <w:t>Kapitalne pomoći temeljem prijenosa EU sredstava bilježe realizaciju od 5.107.236,29 EUR. Posljedica je to uplata na ime NPOO projekata kako slijedi: izgradnja DV Bajer, Sortirnica Herešin, dogradnja OŠ Braća Radić, zelena urbana obnova i obnova Sinagoge. </w:t>
      </w:r>
    </w:p>
    <w:p w14:paraId="34EFBD62" w14:textId="77777777" w:rsidR="002660AA" w:rsidRDefault="002660AA"/>
    <w:p w14:paraId="6C411B10" w14:textId="77777777" w:rsidR="002660AA" w:rsidRDefault="009B260F">
      <w:pPr>
        <w:keepNext/>
        <w:spacing w:line="240" w:lineRule="auto"/>
        <w:jc w:val="center"/>
      </w:pPr>
      <w:r>
        <w:rPr>
          <w:sz w:val="28"/>
        </w:rPr>
        <w:t>Bilješka 16.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10BF57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8B8131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8C086D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D02804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4004C9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A87B93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3D943D5" w14:textId="77777777" w:rsidR="002660AA" w:rsidRDefault="009B260F">
            <w:pPr>
              <w:keepNext/>
              <w:keepLines/>
              <w:spacing w:after="0" w:line="240" w:lineRule="auto"/>
              <w:jc w:val="center"/>
            </w:pPr>
            <w:r>
              <w:rPr>
                <w:b/>
                <w:sz w:val="18"/>
              </w:rPr>
              <w:t>Indeks (%)</w:t>
            </w:r>
          </w:p>
        </w:tc>
      </w:tr>
      <w:tr w:rsidR="002660AA" w14:paraId="5E7FBB01" w14:textId="77777777">
        <w:tblPrEx>
          <w:tblCellMar>
            <w:top w:w="0" w:type="dxa"/>
            <w:bottom w:w="0" w:type="dxa"/>
          </w:tblCellMar>
        </w:tblPrEx>
        <w:trPr>
          <w:cantSplit/>
          <w:trHeight w:val="560"/>
        </w:trPr>
        <w:tc>
          <w:tcPr>
            <w:tcW w:w="700" w:type="dxa"/>
            <w:tcMar>
              <w:top w:w="0" w:type="dxa"/>
              <w:bottom w:w="0" w:type="dxa"/>
            </w:tcMar>
            <w:vAlign w:val="center"/>
          </w:tcPr>
          <w:p w14:paraId="02D544E2" w14:textId="77777777" w:rsidR="002660AA" w:rsidRDefault="009B260F">
            <w:pPr>
              <w:keepNext/>
              <w:keepLines/>
              <w:spacing w:after="0" w:line="240" w:lineRule="auto"/>
            </w:pPr>
            <w:r>
              <w:rPr>
                <w:sz w:val="18"/>
              </w:rPr>
              <w:t>6413</w:t>
            </w:r>
          </w:p>
        </w:tc>
        <w:tc>
          <w:tcPr>
            <w:tcW w:w="3180" w:type="dxa"/>
            <w:tcMar>
              <w:top w:w="0" w:type="dxa"/>
              <w:bottom w:w="0" w:type="dxa"/>
            </w:tcMar>
            <w:vAlign w:val="center"/>
          </w:tcPr>
          <w:p w14:paraId="4AC0335F" w14:textId="77777777" w:rsidR="002660AA" w:rsidRDefault="009B260F">
            <w:pPr>
              <w:keepNext/>
              <w:keepLines/>
              <w:spacing w:after="0" w:line="240" w:lineRule="auto"/>
            </w:pPr>
            <w:r>
              <w:rPr>
                <w:sz w:val="18"/>
              </w:rPr>
              <w:t>Kamate na oročena sredstva i depozite po viđenju</w:t>
            </w:r>
          </w:p>
        </w:tc>
        <w:tc>
          <w:tcPr>
            <w:tcW w:w="700" w:type="dxa"/>
            <w:tcMar>
              <w:top w:w="0" w:type="dxa"/>
              <w:bottom w:w="0" w:type="dxa"/>
            </w:tcMar>
            <w:vAlign w:val="center"/>
          </w:tcPr>
          <w:p w14:paraId="4A7F8FDE" w14:textId="77777777" w:rsidR="002660AA" w:rsidRDefault="009B260F">
            <w:pPr>
              <w:keepNext/>
              <w:keepLines/>
              <w:spacing w:after="0" w:line="240" w:lineRule="auto"/>
            </w:pPr>
            <w:r>
              <w:rPr>
                <w:sz w:val="18"/>
              </w:rPr>
              <w:t>6413</w:t>
            </w:r>
          </w:p>
        </w:tc>
        <w:tc>
          <w:tcPr>
            <w:tcW w:w="1860" w:type="dxa"/>
            <w:tcMar>
              <w:top w:w="0" w:type="dxa"/>
              <w:bottom w:w="0" w:type="dxa"/>
            </w:tcMar>
            <w:vAlign w:val="center"/>
          </w:tcPr>
          <w:p w14:paraId="1ABF05A7" w14:textId="77777777" w:rsidR="002660AA" w:rsidRDefault="009B260F">
            <w:pPr>
              <w:keepNext/>
              <w:keepLines/>
              <w:spacing w:after="0" w:line="240" w:lineRule="auto"/>
              <w:jc w:val="right"/>
            </w:pPr>
            <w:r>
              <w:rPr>
                <w:sz w:val="18"/>
              </w:rPr>
              <w:t>96.730,88</w:t>
            </w:r>
          </w:p>
        </w:tc>
        <w:tc>
          <w:tcPr>
            <w:tcW w:w="1860" w:type="dxa"/>
            <w:tcMar>
              <w:top w:w="0" w:type="dxa"/>
              <w:bottom w:w="0" w:type="dxa"/>
            </w:tcMar>
            <w:vAlign w:val="center"/>
          </w:tcPr>
          <w:p w14:paraId="2D488E84" w14:textId="77777777" w:rsidR="002660AA" w:rsidRDefault="009B260F">
            <w:pPr>
              <w:keepNext/>
              <w:keepLines/>
              <w:spacing w:after="0" w:line="240" w:lineRule="auto"/>
              <w:jc w:val="right"/>
            </w:pPr>
            <w:r>
              <w:rPr>
                <w:sz w:val="18"/>
              </w:rPr>
              <w:t>15.497,82</w:t>
            </w:r>
          </w:p>
        </w:tc>
        <w:tc>
          <w:tcPr>
            <w:tcW w:w="700" w:type="dxa"/>
            <w:tcMar>
              <w:top w:w="0" w:type="dxa"/>
              <w:bottom w:w="0" w:type="dxa"/>
            </w:tcMar>
            <w:vAlign w:val="center"/>
          </w:tcPr>
          <w:p w14:paraId="5390364B" w14:textId="77777777" w:rsidR="002660AA" w:rsidRDefault="009B260F">
            <w:pPr>
              <w:keepNext/>
              <w:keepLines/>
              <w:spacing w:after="0" w:line="240" w:lineRule="auto"/>
              <w:jc w:val="right"/>
            </w:pPr>
            <w:r>
              <w:rPr>
                <w:sz w:val="18"/>
              </w:rPr>
              <w:t>16,0</w:t>
            </w:r>
          </w:p>
        </w:tc>
      </w:tr>
    </w:tbl>
    <w:p w14:paraId="6535F472" w14:textId="77777777" w:rsidR="002660AA" w:rsidRDefault="002660AA">
      <w:pPr>
        <w:spacing w:after="0"/>
      </w:pPr>
    </w:p>
    <w:p w14:paraId="61EFA682" w14:textId="77777777" w:rsidR="002660AA" w:rsidRDefault="009B260F">
      <w:r>
        <w:t>Bilježi se pad jer je Grad u prethodnoj godini oročio značajna sredstva te ostvarivao veće prihode po osnovi kamata na oročena sredstva. U tekućoj godini dospjela su tri oročenja koja nisu obnavljana.</w:t>
      </w:r>
    </w:p>
    <w:p w14:paraId="41D3B50C" w14:textId="77777777" w:rsidR="002660AA" w:rsidRDefault="009B260F">
      <w:r>
        <w:t> </w:t>
      </w:r>
    </w:p>
    <w:p w14:paraId="71D575CF" w14:textId="77777777" w:rsidR="002660AA" w:rsidRDefault="002660AA"/>
    <w:p w14:paraId="251567FC" w14:textId="77777777" w:rsidR="002660AA" w:rsidRDefault="009B260F">
      <w:pPr>
        <w:keepNext/>
        <w:spacing w:line="240" w:lineRule="auto"/>
        <w:jc w:val="center"/>
      </w:pPr>
      <w:r>
        <w:rPr>
          <w:sz w:val="28"/>
        </w:rPr>
        <w:t>Bilješka 17.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BE67E3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142E3A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E250F0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EBD8B2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913A2E"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671C1B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5215C80" w14:textId="77777777" w:rsidR="002660AA" w:rsidRDefault="009B260F">
            <w:pPr>
              <w:keepNext/>
              <w:keepLines/>
              <w:spacing w:after="0" w:line="240" w:lineRule="auto"/>
              <w:jc w:val="center"/>
            </w:pPr>
            <w:r>
              <w:rPr>
                <w:b/>
                <w:sz w:val="18"/>
              </w:rPr>
              <w:t>Indeks (%)</w:t>
            </w:r>
          </w:p>
        </w:tc>
      </w:tr>
      <w:tr w:rsidR="002660AA" w14:paraId="60597B22" w14:textId="77777777">
        <w:tblPrEx>
          <w:tblCellMar>
            <w:top w:w="0" w:type="dxa"/>
            <w:bottom w:w="0" w:type="dxa"/>
          </w:tblCellMar>
        </w:tblPrEx>
        <w:trPr>
          <w:cantSplit/>
          <w:trHeight w:val="560"/>
        </w:trPr>
        <w:tc>
          <w:tcPr>
            <w:tcW w:w="700" w:type="dxa"/>
            <w:tcMar>
              <w:top w:w="0" w:type="dxa"/>
              <w:bottom w:w="0" w:type="dxa"/>
            </w:tcMar>
            <w:vAlign w:val="center"/>
          </w:tcPr>
          <w:p w14:paraId="44856E35" w14:textId="77777777" w:rsidR="002660AA" w:rsidRDefault="009B260F">
            <w:pPr>
              <w:keepNext/>
              <w:keepLines/>
              <w:spacing w:after="0" w:line="240" w:lineRule="auto"/>
            </w:pPr>
            <w:r>
              <w:rPr>
                <w:sz w:val="18"/>
              </w:rPr>
              <w:t>6414</w:t>
            </w:r>
          </w:p>
        </w:tc>
        <w:tc>
          <w:tcPr>
            <w:tcW w:w="3180" w:type="dxa"/>
            <w:tcMar>
              <w:top w:w="0" w:type="dxa"/>
              <w:bottom w:w="0" w:type="dxa"/>
            </w:tcMar>
            <w:vAlign w:val="center"/>
          </w:tcPr>
          <w:p w14:paraId="4DE1B9C0" w14:textId="77777777" w:rsidR="002660AA" w:rsidRDefault="009B260F">
            <w:pPr>
              <w:keepNext/>
              <w:keepLines/>
              <w:spacing w:after="0" w:line="240" w:lineRule="auto"/>
            </w:pPr>
            <w:r>
              <w:rPr>
                <w:sz w:val="18"/>
              </w:rPr>
              <w:t>Prihodi od zateznih kamata</w:t>
            </w:r>
          </w:p>
        </w:tc>
        <w:tc>
          <w:tcPr>
            <w:tcW w:w="700" w:type="dxa"/>
            <w:tcMar>
              <w:top w:w="0" w:type="dxa"/>
              <w:bottom w:w="0" w:type="dxa"/>
            </w:tcMar>
            <w:vAlign w:val="center"/>
          </w:tcPr>
          <w:p w14:paraId="679FD410" w14:textId="77777777" w:rsidR="002660AA" w:rsidRDefault="009B260F">
            <w:pPr>
              <w:keepNext/>
              <w:keepLines/>
              <w:spacing w:after="0" w:line="240" w:lineRule="auto"/>
            </w:pPr>
            <w:r>
              <w:rPr>
                <w:sz w:val="18"/>
              </w:rPr>
              <w:t>6414</w:t>
            </w:r>
          </w:p>
        </w:tc>
        <w:tc>
          <w:tcPr>
            <w:tcW w:w="1860" w:type="dxa"/>
            <w:tcMar>
              <w:top w:w="0" w:type="dxa"/>
              <w:bottom w:w="0" w:type="dxa"/>
            </w:tcMar>
            <w:vAlign w:val="center"/>
          </w:tcPr>
          <w:p w14:paraId="7997576E" w14:textId="77777777" w:rsidR="002660AA" w:rsidRDefault="009B260F">
            <w:pPr>
              <w:keepNext/>
              <w:keepLines/>
              <w:spacing w:after="0" w:line="240" w:lineRule="auto"/>
              <w:jc w:val="right"/>
            </w:pPr>
            <w:r>
              <w:rPr>
                <w:sz w:val="18"/>
              </w:rPr>
              <w:t>21.269,33</w:t>
            </w:r>
          </w:p>
        </w:tc>
        <w:tc>
          <w:tcPr>
            <w:tcW w:w="1860" w:type="dxa"/>
            <w:tcMar>
              <w:top w:w="0" w:type="dxa"/>
              <w:bottom w:w="0" w:type="dxa"/>
            </w:tcMar>
            <w:vAlign w:val="center"/>
          </w:tcPr>
          <w:p w14:paraId="3E020D33" w14:textId="77777777" w:rsidR="002660AA" w:rsidRDefault="009B260F">
            <w:pPr>
              <w:keepNext/>
              <w:keepLines/>
              <w:spacing w:after="0" w:line="240" w:lineRule="auto"/>
              <w:jc w:val="right"/>
            </w:pPr>
            <w:r>
              <w:rPr>
                <w:sz w:val="18"/>
              </w:rPr>
              <w:t>14.328,31</w:t>
            </w:r>
          </w:p>
        </w:tc>
        <w:tc>
          <w:tcPr>
            <w:tcW w:w="700" w:type="dxa"/>
            <w:tcMar>
              <w:top w:w="0" w:type="dxa"/>
              <w:bottom w:w="0" w:type="dxa"/>
            </w:tcMar>
            <w:vAlign w:val="center"/>
          </w:tcPr>
          <w:p w14:paraId="6FC12947" w14:textId="77777777" w:rsidR="002660AA" w:rsidRDefault="009B260F">
            <w:pPr>
              <w:keepNext/>
              <w:keepLines/>
              <w:spacing w:after="0" w:line="240" w:lineRule="auto"/>
              <w:jc w:val="right"/>
            </w:pPr>
            <w:r>
              <w:rPr>
                <w:sz w:val="18"/>
              </w:rPr>
              <w:t>67,4</w:t>
            </w:r>
          </w:p>
        </w:tc>
      </w:tr>
    </w:tbl>
    <w:p w14:paraId="63D5A862" w14:textId="77777777" w:rsidR="002660AA" w:rsidRDefault="002660AA">
      <w:pPr>
        <w:spacing w:after="0"/>
      </w:pPr>
    </w:p>
    <w:p w14:paraId="16A99A0F" w14:textId="77777777" w:rsidR="002660AA" w:rsidRDefault="009B260F">
      <w:r>
        <w:t>Pad se bilježi jer Grad redovno provodi sve mjere naplate prihoda što za posljedicu ima iznimnu urednost u podmirenju obveza od strane obveznika      plaćanja gradskih prihoda.</w:t>
      </w:r>
    </w:p>
    <w:p w14:paraId="0387FEDB" w14:textId="77777777" w:rsidR="002660AA" w:rsidRDefault="002660AA"/>
    <w:p w14:paraId="1348BD07" w14:textId="77777777" w:rsidR="002660AA" w:rsidRDefault="009B260F">
      <w:pPr>
        <w:keepNext/>
        <w:spacing w:line="240" w:lineRule="auto"/>
        <w:jc w:val="center"/>
      </w:pPr>
      <w:r>
        <w:rPr>
          <w:sz w:val="28"/>
        </w:rPr>
        <w:t>Bilješka 18.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69D4B8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888622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329426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0E4A4D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E955E0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345A8D6"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26ACF3D" w14:textId="77777777" w:rsidR="002660AA" w:rsidRDefault="009B260F">
            <w:pPr>
              <w:keepNext/>
              <w:keepLines/>
              <w:spacing w:after="0" w:line="240" w:lineRule="auto"/>
              <w:jc w:val="center"/>
            </w:pPr>
            <w:r>
              <w:rPr>
                <w:b/>
                <w:sz w:val="18"/>
              </w:rPr>
              <w:t>Indeks (%)</w:t>
            </w:r>
          </w:p>
        </w:tc>
      </w:tr>
      <w:tr w:rsidR="002660AA" w14:paraId="2DB61157" w14:textId="77777777">
        <w:tblPrEx>
          <w:tblCellMar>
            <w:top w:w="0" w:type="dxa"/>
            <w:bottom w:w="0" w:type="dxa"/>
          </w:tblCellMar>
        </w:tblPrEx>
        <w:trPr>
          <w:cantSplit/>
          <w:trHeight w:val="560"/>
        </w:trPr>
        <w:tc>
          <w:tcPr>
            <w:tcW w:w="700" w:type="dxa"/>
            <w:tcMar>
              <w:top w:w="0" w:type="dxa"/>
              <w:bottom w:w="0" w:type="dxa"/>
            </w:tcMar>
            <w:vAlign w:val="center"/>
          </w:tcPr>
          <w:p w14:paraId="5B6730F7" w14:textId="77777777" w:rsidR="002660AA" w:rsidRDefault="009B260F">
            <w:pPr>
              <w:keepNext/>
              <w:keepLines/>
              <w:spacing w:after="0" w:line="240" w:lineRule="auto"/>
            </w:pPr>
            <w:r>
              <w:rPr>
                <w:sz w:val="18"/>
              </w:rPr>
              <w:t>6421</w:t>
            </w:r>
          </w:p>
        </w:tc>
        <w:tc>
          <w:tcPr>
            <w:tcW w:w="3180" w:type="dxa"/>
            <w:tcMar>
              <w:top w:w="0" w:type="dxa"/>
              <w:bottom w:w="0" w:type="dxa"/>
            </w:tcMar>
            <w:vAlign w:val="center"/>
          </w:tcPr>
          <w:p w14:paraId="20CE530B" w14:textId="77777777" w:rsidR="002660AA" w:rsidRDefault="009B260F">
            <w:pPr>
              <w:keepNext/>
              <w:keepLines/>
              <w:spacing w:after="0" w:line="240" w:lineRule="auto"/>
            </w:pPr>
            <w:r>
              <w:rPr>
                <w:sz w:val="18"/>
              </w:rPr>
              <w:t>Naknade za koncesije</w:t>
            </w:r>
          </w:p>
        </w:tc>
        <w:tc>
          <w:tcPr>
            <w:tcW w:w="700" w:type="dxa"/>
            <w:tcMar>
              <w:top w:w="0" w:type="dxa"/>
              <w:bottom w:w="0" w:type="dxa"/>
            </w:tcMar>
            <w:vAlign w:val="center"/>
          </w:tcPr>
          <w:p w14:paraId="26548246" w14:textId="77777777" w:rsidR="002660AA" w:rsidRDefault="009B260F">
            <w:pPr>
              <w:keepNext/>
              <w:keepLines/>
              <w:spacing w:after="0" w:line="240" w:lineRule="auto"/>
            </w:pPr>
            <w:r>
              <w:rPr>
                <w:sz w:val="18"/>
              </w:rPr>
              <w:t>6421</w:t>
            </w:r>
          </w:p>
        </w:tc>
        <w:tc>
          <w:tcPr>
            <w:tcW w:w="1860" w:type="dxa"/>
            <w:tcMar>
              <w:top w:w="0" w:type="dxa"/>
              <w:bottom w:w="0" w:type="dxa"/>
            </w:tcMar>
            <w:vAlign w:val="center"/>
          </w:tcPr>
          <w:p w14:paraId="13167087" w14:textId="77777777" w:rsidR="002660AA" w:rsidRDefault="009B260F">
            <w:pPr>
              <w:keepNext/>
              <w:keepLines/>
              <w:spacing w:after="0" w:line="240" w:lineRule="auto"/>
              <w:jc w:val="right"/>
            </w:pPr>
            <w:r>
              <w:rPr>
                <w:sz w:val="18"/>
              </w:rPr>
              <w:t>6.010,87</w:t>
            </w:r>
          </w:p>
        </w:tc>
        <w:tc>
          <w:tcPr>
            <w:tcW w:w="1860" w:type="dxa"/>
            <w:tcMar>
              <w:top w:w="0" w:type="dxa"/>
              <w:bottom w:w="0" w:type="dxa"/>
            </w:tcMar>
            <w:vAlign w:val="center"/>
          </w:tcPr>
          <w:p w14:paraId="5EE7AE41" w14:textId="77777777" w:rsidR="002660AA" w:rsidRDefault="009B260F">
            <w:pPr>
              <w:keepNext/>
              <w:keepLines/>
              <w:spacing w:after="0" w:line="240" w:lineRule="auto"/>
              <w:jc w:val="right"/>
            </w:pPr>
            <w:r>
              <w:rPr>
                <w:sz w:val="18"/>
              </w:rPr>
              <w:t>14.275,89</w:t>
            </w:r>
          </w:p>
        </w:tc>
        <w:tc>
          <w:tcPr>
            <w:tcW w:w="700" w:type="dxa"/>
            <w:tcMar>
              <w:top w:w="0" w:type="dxa"/>
              <w:bottom w:w="0" w:type="dxa"/>
            </w:tcMar>
            <w:vAlign w:val="center"/>
          </w:tcPr>
          <w:p w14:paraId="7914CAD4" w14:textId="77777777" w:rsidR="002660AA" w:rsidRDefault="009B260F">
            <w:pPr>
              <w:keepNext/>
              <w:keepLines/>
              <w:spacing w:after="0" w:line="240" w:lineRule="auto"/>
              <w:jc w:val="right"/>
            </w:pPr>
            <w:r>
              <w:rPr>
                <w:sz w:val="18"/>
              </w:rPr>
              <w:t>237,5</w:t>
            </w:r>
          </w:p>
        </w:tc>
      </w:tr>
    </w:tbl>
    <w:p w14:paraId="3CC406DB" w14:textId="77777777" w:rsidR="002660AA" w:rsidRDefault="002660AA">
      <w:pPr>
        <w:spacing w:after="0"/>
      </w:pPr>
    </w:p>
    <w:p w14:paraId="4747C7A4" w14:textId="77777777" w:rsidR="002660AA" w:rsidRDefault="009B260F">
      <w:r>
        <w:t>Bilježi se rast jer je koncesionar koji je kasnio sa plaćanjem obveza iz 2024. godine iste podmirio tijekom 2025. godine s ciljem prijave na novi javni natječaj za obavljanje koncesionarske djelatnosti (dimnjačari).</w:t>
      </w:r>
    </w:p>
    <w:p w14:paraId="27C2AE61" w14:textId="77777777" w:rsidR="002660AA" w:rsidRDefault="002660AA"/>
    <w:p w14:paraId="72A883DF" w14:textId="77777777" w:rsidR="002660AA" w:rsidRDefault="009B260F">
      <w:pPr>
        <w:keepNext/>
        <w:spacing w:line="240" w:lineRule="auto"/>
        <w:jc w:val="center"/>
      </w:pPr>
      <w:r>
        <w:rPr>
          <w:sz w:val="28"/>
        </w:rPr>
        <w:t>Bilješka 19.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51401C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5D7EA89"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74D729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1320F7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88A87E"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DB4B63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8BEA6DB" w14:textId="77777777" w:rsidR="002660AA" w:rsidRDefault="009B260F">
            <w:pPr>
              <w:keepNext/>
              <w:keepLines/>
              <w:spacing w:after="0" w:line="240" w:lineRule="auto"/>
              <w:jc w:val="center"/>
            </w:pPr>
            <w:r>
              <w:rPr>
                <w:b/>
                <w:sz w:val="18"/>
              </w:rPr>
              <w:t>Indeks (%)</w:t>
            </w:r>
          </w:p>
        </w:tc>
      </w:tr>
      <w:tr w:rsidR="002660AA" w14:paraId="65097B66" w14:textId="77777777">
        <w:tblPrEx>
          <w:tblCellMar>
            <w:top w:w="0" w:type="dxa"/>
            <w:bottom w:w="0" w:type="dxa"/>
          </w:tblCellMar>
        </w:tblPrEx>
        <w:trPr>
          <w:cantSplit/>
          <w:trHeight w:val="560"/>
        </w:trPr>
        <w:tc>
          <w:tcPr>
            <w:tcW w:w="700" w:type="dxa"/>
            <w:tcMar>
              <w:top w:w="0" w:type="dxa"/>
              <w:bottom w:w="0" w:type="dxa"/>
            </w:tcMar>
            <w:vAlign w:val="center"/>
          </w:tcPr>
          <w:p w14:paraId="7B95813D" w14:textId="77777777" w:rsidR="002660AA" w:rsidRDefault="009B260F">
            <w:pPr>
              <w:keepNext/>
              <w:keepLines/>
              <w:spacing w:after="0" w:line="240" w:lineRule="auto"/>
            </w:pPr>
            <w:r>
              <w:rPr>
                <w:sz w:val="18"/>
              </w:rPr>
              <w:t>6422</w:t>
            </w:r>
          </w:p>
        </w:tc>
        <w:tc>
          <w:tcPr>
            <w:tcW w:w="3180" w:type="dxa"/>
            <w:tcMar>
              <w:top w:w="0" w:type="dxa"/>
              <w:bottom w:w="0" w:type="dxa"/>
            </w:tcMar>
            <w:vAlign w:val="center"/>
          </w:tcPr>
          <w:p w14:paraId="318BFFB7" w14:textId="77777777" w:rsidR="002660AA" w:rsidRDefault="009B260F">
            <w:pPr>
              <w:keepNext/>
              <w:keepLines/>
              <w:spacing w:after="0" w:line="240" w:lineRule="auto"/>
            </w:pPr>
            <w:r>
              <w:rPr>
                <w:sz w:val="18"/>
              </w:rPr>
              <w:t>Prihodi od zakupa i iznajmljivanja imovine</w:t>
            </w:r>
          </w:p>
        </w:tc>
        <w:tc>
          <w:tcPr>
            <w:tcW w:w="700" w:type="dxa"/>
            <w:tcMar>
              <w:top w:w="0" w:type="dxa"/>
              <w:bottom w:w="0" w:type="dxa"/>
            </w:tcMar>
            <w:vAlign w:val="center"/>
          </w:tcPr>
          <w:p w14:paraId="62DDE160" w14:textId="77777777" w:rsidR="002660AA" w:rsidRDefault="009B260F">
            <w:pPr>
              <w:keepNext/>
              <w:keepLines/>
              <w:spacing w:after="0" w:line="240" w:lineRule="auto"/>
            </w:pPr>
            <w:r>
              <w:rPr>
                <w:sz w:val="18"/>
              </w:rPr>
              <w:t>6422</w:t>
            </w:r>
          </w:p>
        </w:tc>
        <w:tc>
          <w:tcPr>
            <w:tcW w:w="1860" w:type="dxa"/>
            <w:tcMar>
              <w:top w:w="0" w:type="dxa"/>
              <w:bottom w:w="0" w:type="dxa"/>
            </w:tcMar>
            <w:vAlign w:val="center"/>
          </w:tcPr>
          <w:p w14:paraId="751C0E2B" w14:textId="77777777" w:rsidR="002660AA" w:rsidRDefault="009B260F">
            <w:pPr>
              <w:keepNext/>
              <w:keepLines/>
              <w:spacing w:after="0" w:line="240" w:lineRule="auto"/>
              <w:jc w:val="right"/>
            </w:pPr>
            <w:r>
              <w:rPr>
                <w:sz w:val="18"/>
              </w:rPr>
              <w:t>60.784,78</w:t>
            </w:r>
          </w:p>
        </w:tc>
        <w:tc>
          <w:tcPr>
            <w:tcW w:w="1860" w:type="dxa"/>
            <w:tcMar>
              <w:top w:w="0" w:type="dxa"/>
              <w:bottom w:w="0" w:type="dxa"/>
            </w:tcMar>
            <w:vAlign w:val="center"/>
          </w:tcPr>
          <w:p w14:paraId="50586FD8" w14:textId="77777777" w:rsidR="002660AA" w:rsidRDefault="009B260F">
            <w:pPr>
              <w:keepNext/>
              <w:keepLines/>
              <w:spacing w:after="0" w:line="240" w:lineRule="auto"/>
              <w:jc w:val="right"/>
            </w:pPr>
            <w:r>
              <w:rPr>
                <w:sz w:val="18"/>
              </w:rPr>
              <w:t>92.225,59</w:t>
            </w:r>
          </w:p>
        </w:tc>
        <w:tc>
          <w:tcPr>
            <w:tcW w:w="700" w:type="dxa"/>
            <w:tcMar>
              <w:top w:w="0" w:type="dxa"/>
              <w:bottom w:w="0" w:type="dxa"/>
            </w:tcMar>
            <w:vAlign w:val="center"/>
          </w:tcPr>
          <w:p w14:paraId="6BC7A4C8" w14:textId="77777777" w:rsidR="002660AA" w:rsidRDefault="009B260F">
            <w:pPr>
              <w:keepNext/>
              <w:keepLines/>
              <w:spacing w:after="0" w:line="240" w:lineRule="auto"/>
              <w:jc w:val="right"/>
            </w:pPr>
            <w:r>
              <w:rPr>
                <w:sz w:val="18"/>
              </w:rPr>
              <w:t>151,7</w:t>
            </w:r>
          </w:p>
        </w:tc>
      </w:tr>
    </w:tbl>
    <w:p w14:paraId="37CFE3E1" w14:textId="77777777" w:rsidR="002660AA" w:rsidRDefault="002660AA">
      <w:pPr>
        <w:spacing w:after="0"/>
      </w:pPr>
    </w:p>
    <w:p w14:paraId="3D65F0D3" w14:textId="77777777" w:rsidR="002660AA" w:rsidRDefault="009B260F">
      <w:r>
        <w:t>Bilježi se rast radi ostvarenog jednokratnog prihoda od društva Podravka d.d. za najam prostora u kojem je obavljana trgovačka djelatnost do trenutka rušenja navedenog objekta.</w:t>
      </w:r>
    </w:p>
    <w:p w14:paraId="0AD4B070" w14:textId="77777777" w:rsidR="002660AA" w:rsidRDefault="002660AA"/>
    <w:p w14:paraId="1C816DBD" w14:textId="77777777" w:rsidR="002660AA" w:rsidRDefault="009B260F">
      <w:pPr>
        <w:keepNext/>
        <w:spacing w:line="240" w:lineRule="auto"/>
        <w:jc w:val="center"/>
      </w:pPr>
      <w:r>
        <w:rPr>
          <w:sz w:val="28"/>
        </w:rPr>
        <w:t>Bilješka 20.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838326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C5BB63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56A2B8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515BCA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DF42DB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B8B6CE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EDE7B97" w14:textId="77777777" w:rsidR="002660AA" w:rsidRDefault="009B260F">
            <w:pPr>
              <w:keepNext/>
              <w:keepLines/>
              <w:spacing w:after="0" w:line="240" w:lineRule="auto"/>
              <w:jc w:val="center"/>
            </w:pPr>
            <w:r>
              <w:rPr>
                <w:b/>
                <w:sz w:val="18"/>
              </w:rPr>
              <w:t>Indeks (%)</w:t>
            </w:r>
          </w:p>
        </w:tc>
      </w:tr>
      <w:tr w:rsidR="002660AA" w14:paraId="0983E217" w14:textId="77777777">
        <w:tblPrEx>
          <w:tblCellMar>
            <w:top w:w="0" w:type="dxa"/>
            <w:bottom w:w="0" w:type="dxa"/>
          </w:tblCellMar>
        </w:tblPrEx>
        <w:trPr>
          <w:cantSplit/>
          <w:trHeight w:val="560"/>
        </w:trPr>
        <w:tc>
          <w:tcPr>
            <w:tcW w:w="700" w:type="dxa"/>
            <w:tcMar>
              <w:top w:w="0" w:type="dxa"/>
              <w:bottom w:w="0" w:type="dxa"/>
            </w:tcMar>
            <w:vAlign w:val="center"/>
          </w:tcPr>
          <w:p w14:paraId="3EF1D456" w14:textId="77777777" w:rsidR="002660AA" w:rsidRDefault="009B260F">
            <w:pPr>
              <w:keepNext/>
              <w:keepLines/>
              <w:spacing w:after="0" w:line="240" w:lineRule="auto"/>
            </w:pPr>
            <w:r>
              <w:rPr>
                <w:sz w:val="18"/>
              </w:rPr>
              <w:t>6429</w:t>
            </w:r>
          </w:p>
        </w:tc>
        <w:tc>
          <w:tcPr>
            <w:tcW w:w="3180" w:type="dxa"/>
            <w:tcMar>
              <w:top w:w="0" w:type="dxa"/>
              <w:bottom w:w="0" w:type="dxa"/>
            </w:tcMar>
            <w:vAlign w:val="center"/>
          </w:tcPr>
          <w:p w14:paraId="5E6BAEF2" w14:textId="77777777" w:rsidR="002660AA" w:rsidRDefault="009B260F">
            <w:pPr>
              <w:keepNext/>
              <w:keepLines/>
              <w:spacing w:after="0" w:line="240" w:lineRule="auto"/>
            </w:pPr>
            <w:r>
              <w:rPr>
                <w:sz w:val="18"/>
              </w:rPr>
              <w:t>Ostali prihodi od nefinancijske imovine</w:t>
            </w:r>
          </w:p>
        </w:tc>
        <w:tc>
          <w:tcPr>
            <w:tcW w:w="700" w:type="dxa"/>
            <w:tcMar>
              <w:top w:w="0" w:type="dxa"/>
              <w:bottom w:w="0" w:type="dxa"/>
            </w:tcMar>
            <w:vAlign w:val="center"/>
          </w:tcPr>
          <w:p w14:paraId="64237399" w14:textId="77777777" w:rsidR="002660AA" w:rsidRDefault="009B260F">
            <w:pPr>
              <w:keepNext/>
              <w:keepLines/>
              <w:spacing w:after="0" w:line="240" w:lineRule="auto"/>
            </w:pPr>
            <w:r>
              <w:rPr>
                <w:sz w:val="18"/>
              </w:rPr>
              <w:t>6429</w:t>
            </w:r>
          </w:p>
        </w:tc>
        <w:tc>
          <w:tcPr>
            <w:tcW w:w="1860" w:type="dxa"/>
            <w:tcMar>
              <w:top w:w="0" w:type="dxa"/>
              <w:bottom w:w="0" w:type="dxa"/>
            </w:tcMar>
            <w:vAlign w:val="center"/>
          </w:tcPr>
          <w:p w14:paraId="3F168DD2" w14:textId="77777777" w:rsidR="002660AA" w:rsidRDefault="009B260F">
            <w:pPr>
              <w:keepNext/>
              <w:keepLines/>
              <w:spacing w:after="0" w:line="240" w:lineRule="auto"/>
              <w:jc w:val="right"/>
            </w:pPr>
            <w:r>
              <w:rPr>
                <w:sz w:val="18"/>
              </w:rPr>
              <w:t>6.621,60</w:t>
            </w:r>
          </w:p>
        </w:tc>
        <w:tc>
          <w:tcPr>
            <w:tcW w:w="1860" w:type="dxa"/>
            <w:tcMar>
              <w:top w:w="0" w:type="dxa"/>
              <w:bottom w:w="0" w:type="dxa"/>
            </w:tcMar>
            <w:vAlign w:val="center"/>
          </w:tcPr>
          <w:p w14:paraId="5F4B97F0" w14:textId="77777777" w:rsidR="002660AA" w:rsidRDefault="009B260F">
            <w:pPr>
              <w:keepNext/>
              <w:keepLines/>
              <w:spacing w:after="0" w:line="240" w:lineRule="auto"/>
              <w:jc w:val="right"/>
            </w:pPr>
            <w:r>
              <w:rPr>
                <w:sz w:val="18"/>
              </w:rPr>
              <w:t>2.724,11</w:t>
            </w:r>
          </w:p>
        </w:tc>
        <w:tc>
          <w:tcPr>
            <w:tcW w:w="700" w:type="dxa"/>
            <w:tcMar>
              <w:top w:w="0" w:type="dxa"/>
              <w:bottom w:w="0" w:type="dxa"/>
            </w:tcMar>
            <w:vAlign w:val="center"/>
          </w:tcPr>
          <w:p w14:paraId="7210CC8B" w14:textId="77777777" w:rsidR="002660AA" w:rsidRDefault="009B260F">
            <w:pPr>
              <w:keepNext/>
              <w:keepLines/>
              <w:spacing w:after="0" w:line="240" w:lineRule="auto"/>
              <w:jc w:val="right"/>
            </w:pPr>
            <w:r>
              <w:rPr>
                <w:sz w:val="18"/>
              </w:rPr>
              <w:t>41,1</w:t>
            </w:r>
          </w:p>
        </w:tc>
      </w:tr>
    </w:tbl>
    <w:p w14:paraId="23854DEB" w14:textId="77777777" w:rsidR="002660AA" w:rsidRDefault="002660AA">
      <w:pPr>
        <w:spacing w:after="0"/>
      </w:pPr>
    </w:p>
    <w:p w14:paraId="4C0B07BD" w14:textId="77777777" w:rsidR="002660AA" w:rsidRDefault="009B260F">
      <w:r>
        <w:t>Na kontu 6429 zabilježen je pad od 59,9 post, što je rezultat manje naplate naknada za zadržavanje nezakonito izgrađenih građevina u 2025. godini.         </w:t>
      </w:r>
    </w:p>
    <w:p w14:paraId="5E34AF8E" w14:textId="77777777" w:rsidR="002660AA" w:rsidRDefault="009B260F">
      <w:r>
        <w:t> </w:t>
      </w:r>
    </w:p>
    <w:p w14:paraId="263FC8E2" w14:textId="77777777" w:rsidR="002660AA" w:rsidRDefault="002660AA"/>
    <w:p w14:paraId="780A47F6" w14:textId="77777777" w:rsidR="002660AA" w:rsidRDefault="009B260F">
      <w:pPr>
        <w:keepNext/>
        <w:spacing w:line="240" w:lineRule="auto"/>
        <w:jc w:val="center"/>
      </w:pPr>
      <w:r>
        <w:rPr>
          <w:sz w:val="28"/>
        </w:rPr>
        <w:t>Bilješka 21.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519C99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D779B9B"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099713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999E22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F863727"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AFEC17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A50B417" w14:textId="77777777" w:rsidR="002660AA" w:rsidRDefault="009B260F">
            <w:pPr>
              <w:keepNext/>
              <w:keepLines/>
              <w:spacing w:after="0" w:line="240" w:lineRule="auto"/>
              <w:jc w:val="center"/>
            </w:pPr>
            <w:r>
              <w:rPr>
                <w:b/>
                <w:sz w:val="18"/>
              </w:rPr>
              <w:t>Indeks (%)</w:t>
            </w:r>
          </w:p>
        </w:tc>
      </w:tr>
      <w:tr w:rsidR="002660AA" w14:paraId="26795CA5" w14:textId="77777777">
        <w:tblPrEx>
          <w:tblCellMar>
            <w:top w:w="0" w:type="dxa"/>
            <w:bottom w:w="0" w:type="dxa"/>
          </w:tblCellMar>
        </w:tblPrEx>
        <w:trPr>
          <w:cantSplit/>
          <w:trHeight w:val="560"/>
        </w:trPr>
        <w:tc>
          <w:tcPr>
            <w:tcW w:w="700" w:type="dxa"/>
            <w:tcMar>
              <w:top w:w="0" w:type="dxa"/>
              <w:bottom w:w="0" w:type="dxa"/>
            </w:tcMar>
            <w:vAlign w:val="center"/>
          </w:tcPr>
          <w:p w14:paraId="3957B3FF" w14:textId="77777777" w:rsidR="002660AA" w:rsidRDefault="009B260F">
            <w:pPr>
              <w:keepNext/>
              <w:keepLines/>
              <w:spacing w:after="0" w:line="240" w:lineRule="auto"/>
            </w:pPr>
            <w:r>
              <w:rPr>
                <w:sz w:val="18"/>
              </w:rPr>
              <w:t>6512</w:t>
            </w:r>
          </w:p>
        </w:tc>
        <w:tc>
          <w:tcPr>
            <w:tcW w:w="3180" w:type="dxa"/>
            <w:tcMar>
              <w:top w:w="0" w:type="dxa"/>
              <w:bottom w:w="0" w:type="dxa"/>
            </w:tcMar>
            <w:vAlign w:val="center"/>
          </w:tcPr>
          <w:p w14:paraId="74A10710" w14:textId="77777777" w:rsidR="002660AA" w:rsidRDefault="009B260F">
            <w:pPr>
              <w:keepNext/>
              <w:keepLines/>
              <w:spacing w:after="0" w:line="240" w:lineRule="auto"/>
            </w:pPr>
            <w:r>
              <w:rPr>
                <w:sz w:val="18"/>
              </w:rPr>
              <w:t>Županijske, gradske i općinske pristojbe i naknade</w:t>
            </w:r>
          </w:p>
        </w:tc>
        <w:tc>
          <w:tcPr>
            <w:tcW w:w="700" w:type="dxa"/>
            <w:tcMar>
              <w:top w:w="0" w:type="dxa"/>
              <w:bottom w:w="0" w:type="dxa"/>
            </w:tcMar>
            <w:vAlign w:val="center"/>
          </w:tcPr>
          <w:p w14:paraId="6098F150" w14:textId="77777777" w:rsidR="002660AA" w:rsidRDefault="009B260F">
            <w:pPr>
              <w:keepNext/>
              <w:keepLines/>
              <w:spacing w:after="0" w:line="240" w:lineRule="auto"/>
            </w:pPr>
            <w:r>
              <w:rPr>
                <w:sz w:val="18"/>
              </w:rPr>
              <w:t>6512</w:t>
            </w:r>
          </w:p>
        </w:tc>
        <w:tc>
          <w:tcPr>
            <w:tcW w:w="1860" w:type="dxa"/>
            <w:tcMar>
              <w:top w:w="0" w:type="dxa"/>
              <w:bottom w:w="0" w:type="dxa"/>
            </w:tcMar>
            <w:vAlign w:val="center"/>
          </w:tcPr>
          <w:p w14:paraId="666E77AE" w14:textId="77777777" w:rsidR="002660AA" w:rsidRDefault="009B260F">
            <w:pPr>
              <w:keepNext/>
              <w:keepLines/>
              <w:spacing w:after="0" w:line="240" w:lineRule="auto"/>
              <w:jc w:val="right"/>
            </w:pPr>
            <w:r>
              <w:rPr>
                <w:sz w:val="18"/>
              </w:rPr>
              <w:t>69.501,36</w:t>
            </w:r>
          </w:p>
        </w:tc>
        <w:tc>
          <w:tcPr>
            <w:tcW w:w="1860" w:type="dxa"/>
            <w:tcMar>
              <w:top w:w="0" w:type="dxa"/>
              <w:bottom w:w="0" w:type="dxa"/>
            </w:tcMar>
            <w:vAlign w:val="center"/>
          </w:tcPr>
          <w:p w14:paraId="36F24473" w14:textId="77777777" w:rsidR="002660AA" w:rsidRDefault="009B260F">
            <w:pPr>
              <w:keepNext/>
              <w:keepLines/>
              <w:spacing w:after="0" w:line="240" w:lineRule="auto"/>
              <w:jc w:val="right"/>
            </w:pPr>
            <w:r>
              <w:rPr>
                <w:sz w:val="18"/>
              </w:rPr>
              <w:t>46.569,93</w:t>
            </w:r>
          </w:p>
        </w:tc>
        <w:tc>
          <w:tcPr>
            <w:tcW w:w="700" w:type="dxa"/>
            <w:tcMar>
              <w:top w:w="0" w:type="dxa"/>
              <w:bottom w:w="0" w:type="dxa"/>
            </w:tcMar>
            <w:vAlign w:val="center"/>
          </w:tcPr>
          <w:p w14:paraId="0738BB62" w14:textId="77777777" w:rsidR="002660AA" w:rsidRDefault="009B260F">
            <w:pPr>
              <w:keepNext/>
              <w:keepLines/>
              <w:spacing w:after="0" w:line="240" w:lineRule="auto"/>
              <w:jc w:val="right"/>
            </w:pPr>
            <w:r>
              <w:rPr>
                <w:sz w:val="18"/>
              </w:rPr>
              <w:t>67,0</w:t>
            </w:r>
          </w:p>
        </w:tc>
      </w:tr>
    </w:tbl>
    <w:p w14:paraId="18E3E8B5" w14:textId="77777777" w:rsidR="002660AA" w:rsidRDefault="002660AA">
      <w:pPr>
        <w:spacing w:after="0"/>
      </w:pPr>
    </w:p>
    <w:p w14:paraId="7A631528" w14:textId="77777777" w:rsidR="002660AA" w:rsidRDefault="009B260F">
      <w:r>
        <w:t>Bilježi se pad u odnosu na prethodnu godinu jer se tijekom 2024. godine ostvario prihod od 25.000,00 EUR trgovačkog društva na području grada za izgradnju  logističko-distributivnog centra.</w:t>
      </w:r>
    </w:p>
    <w:p w14:paraId="462FA295" w14:textId="77777777" w:rsidR="002660AA" w:rsidRDefault="002660AA"/>
    <w:p w14:paraId="2C7CFC21" w14:textId="77777777" w:rsidR="002660AA" w:rsidRDefault="009B260F">
      <w:pPr>
        <w:keepNext/>
        <w:spacing w:line="240" w:lineRule="auto"/>
        <w:jc w:val="center"/>
      </w:pPr>
      <w:r>
        <w:rPr>
          <w:sz w:val="28"/>
        </w:rPr>
        <w:t>Bilješka 22.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5FAA2E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1E15B3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D748BD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B26A36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457ABD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2692A6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78BB70F" w14:textId="77777777" w:rsidR="002660AA" w:rsidRDefault="009B260F">
            <w:pPr>
              <w:keepNext/>
              <w:keepLines/>
              <w:spacing w:after="0" w:line="240" w:lineRule="auto"/>
              <w:jc w:val="center"/>
            </w:pPr>
            <w:r>
              <w:rPr>
                <w:b/>
                <w:sz w:val="18"/>
              </w:rPr>
              <w:t>Indeks (%)</w:t>
            </w:r>
          </w:p>
        </w:tc>
      </w:tr>
      <w:tr w:rsidR="002660AA" w14:paraId="4F982863" w14:textId="77777777">
        <w:tblPrEx>
          <w:tblCellMar>
            <w:top w:w="0" w:type="dxa"/>
            <w:bottom w:w="0" w:type="dxa"/>
          </w:tblCellMar>
        </w:tblPrEx>
        <w:trPr>
          <w:cantSplit/>
          <w:trHeight w:val="560"/>
        </w:trPr>
        <w:tc>
          <w:tcPr>
            <w:tcW w:w="700" w:type="dxa"/>
            <w:tcMar>
              <w:top w:w="0" w:type="dxa"/>
              <w:bottom w:w="0" w:type="dxa"/>
            </w:tcMar>
            <w:vAlign w:val="center"/>
          </w:tcPr>
          <w:p w14:paraId="2B483356" w14:textId="77777777" w:rsidR="002660AA" w:rsidRDefault="009B260F">
            <w:pPr>
              <w:keepNext/>
              <w:keepLines/>
              <w:spacing w:after="0" w:line="240" w:lineRule="auto"/>
            </w:pPr>
            <w:r>
              <w:rPr>
                <w:sz w:val="18"/>
              </w:rPr>
              <w:t>6522</w:t>
            </w:r>
          </w:p>
        </w:tc>
        <w:tc>
          <w:tcPr>
            <w:tcW w:w="3180" w:type="dxa"/>
            <w:tcMar>
              <w:top w:w="0" w:type="dxa"/>
              <w:bottom w:w="0" w:type="dxa"/>
            </w:tcMar>
            <w:vAlign w:val="center"/>
          </w:tcPr>
          <w:p w14:paraId="0BE645BC" w14:textId="77777777" w:rsidR="002660AA" w:rsidRDefault="009B260F">
            <w:pPr>
              <w:keepNext/>
              <w:keepLines/>
              <w:spacing w:after="0" w:line="240" w:lineRule="auto"/>
            </w:pPr>
            <w:r>
              <w:rPr>
                <w:sz w:val="18"/>
              </w:rPr>
              <w:t>Prihodi vodnog gospodarstva</w:t>
            </w:r>
          </w:p>
        </w:tc>
        <w:tc>
          <w:tcPr>
            <w:tcW w:w="700" w:type="dxa"/>
            <w:tcMar>
              <w:top w:w="0" w:type="dxa"/>
              <w:bottom w:w="0" w:type="dxa"/>
            </w:tcMar>
            <w:vAlign w:val="center"/>
          </w:tcPr>
          <w:p w14:paraId="1C0DE875" w14:textId="77777777" w:rsidR="002660AA" w:rsidRDefault="009B260F">
            <w:pPr>
              <w:keepNext/>
              <w:keepLines/>
              <w:spacing w:after="0" w:line="240" w:lineRule="auto"/>
            </w:pPr>
            <w:r>
              <w:rPr>
                <w:sz w:val="18"/>
              </w:rPr>
              <w:t>6522</w:t>
            </w:r>
          </w:p>
        </w:tc>
        <w:tc>
          <w:tcPr>
            <w:tcW w:w="1860" w:type="dxa"/>
            <w:tcMar>
              <w:top w:w="0" w:type="dxa"/>
              <w:bottom w:w="0" w:type="dxa"/>
            </w:tcMar>
            <w:vAlign w:val="center"/>
          </w:tcPr>
          <w:p w14:paraId="5C9B9BF5" w14:textId="77777777" w:rsidR="002660AA" w:rsidRDefault="009B260F">
            <w:pPr>
              <w:keepNext/>
              <w:keepLines/>
              <w:spacing w:after="0" w:line="240" w:lineRule="auto"/>
              <w:jc w:val="right"/>
            </w:pPr>
            <w:r>
              <w:rPr>
                <w:sz w:val="18"/>
              </w:rPr>
              <w:t>2.427,96</w:t>
            </w:r>
          </w:p>
        </w:tc>
        <w:tc>
          <w:tcPr>
            <w:tcW w:w="1860" w:type="dxa"/>
            <w:tcMar>
              <w:top w:w="0" w:type="dxa"/>
              <w:bottom w:w="0" w:type="dxa"/>
            </w:tcMar>
            <w:vAlign w:val="center"/>
          </w:tcPr>
          <w:p w14:paraId="58BADC78"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13A8D8F7" w14:textId="77777777" w:rsidR="002660AA" w:rsidRDefault="009B260F">
            <w:pPr>
              <w:keepNext/>
              <w:keepLines/>
              <w:spacing w:after="0" w:line="240" w:lineRule="auto"/>
              <w:jc w:val="right"/>
            </w:pPr>
            <w:r>
              <w:rPr>
                <w:sz w:val="18"/>
              </w:rPr>
              <w:t>0</w:t>
            </w:r>
          </w:p>
        </w:tc>
      </w:tr>
    </w:tbl>
    <w:p w14:paraId="1B5241B2" w14:textId="77777777" w:rsidR="002660AA" w:rsidRDefault="002660AA">
      <w:pPr>
        <w:spacing w:after="0"/>
      </w:pPr>
    </w:p>
    <w:p w14:paraId="3DAF1A70" w14:textId="77777777" w:rsidR="002660AA" w:rsidRDefault="009B260F">
      <w:r>
        <w:t>Navedeni prihod je ukinut stoga se realizacije ne bilježi tijekom 2025. godine.   </w:t>
      </w:r>
    </w:p>
    <w:p w14:paraId="01960D30" w14:textId="77777777" w:rsidR="002660AA" w:rsidRDefault="002660AA"/>
    <w:p w14:paraId="74849D63" w14:textId="77777777" w:rsidR="002660AA" w:rsidRDefault="009B260F">
      <w:pPr>
        <w:keepNext/>
        <w:spacing w:line="240" w:lineRule="auto"/>
        <w:jc w:val="center"/>
      </w:pPr>
      <w:r>
        <w:rPr>
          <w:sz w:val="28"/>
        </w:rPr>
        <w:t>Bilješka 23.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D091FA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E96CC9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A3371F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2A87BB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49E9A3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38EB9B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577B935" w14:textId="77777777" w:rsidR="002660AA" w:rsidRDefault="009B260F">
            <w:pPr>
              <w:keepNext/>
              <w:keepLines/>
              <w:spacing w:after="0" w:line="240" w:lineRule="auto"/>
              <w:jc w:val="center"/>
            </w:pPr>
            <w:r>
              <w:rPr>
                <w:b/>
                <w:sz w:val="18"/>
              </w:rPr>
              <w:t>Indeks (%)</w:t>
            </w:r>
          </w:p>
        </w:tc>
      </w:tr>
      <w:tr w:rsidR="002660AA" w14:paraId="077BF801" w14:textId="77777777">
        <w:tblPrEx>
          <w:tblCellMar>
            <w:top w:w="0" w:type="dxa"/>
            <w:bottom w:w="0" w:type="dxa"/>
          </w:tblCellMar>
        </w:tblPrEx>
        <w:trPr>
          <w:cantSplit/>
          <w:trHeight w:val="560"/>
        </w:trPr>
        <w:tc>
          <w:tcPr>
            <w:tcW w:w="700" w:type="dxa"/>
            <w:tcMar>
              <w:top w:w="0" w:type="dxa"/>
              <w:bottom w:w="0" w:type="dxa"/>
            </w:tcMar>
            <w:vAlign w:val="center"/>
          </w:tcPr>
          <w:p w14:paraId="320F93F2" w14:textId="77777777" w:rsidR="002660AA" w:rsidRDefault="009B260F">
            <w:pPr>
              <w:keepNext/>
              <w:keepLines/>
              <w:spacing w:after="0" w:line="240" w:lineRule="auto"/>
            </w:pPr>
            <w:r>
              <w:rPr>
                <w:sz w:val="18"/>
              </w:rPr>
              <w:t>6526</w:t>
            </w:r>
          </w:p>
        </w:tc>
        <w:tc>
          <w:tcPr>
            <w:tcW w:w="3180" w:type="dxa"/>
            <w:tcMar>
              <w:top w:w="0" w:type="dxa"/>
              <w:bottom w:w="0" w:type="dxa"/>
            </w:tcMar>
            <w:vAlign w:val="center"/>
          </w:tcPr>
          <w:p w14:paraId="1AAB7BB0" w14:textId="77777777" w:rsidR="002660AA" w:rsidRDefault="009B260F">
            <w:pPr>
              <w:keepNext/>
              <w:keepLines/>
              <w:spacing w:after="0" w:line="240" w:lineRule="auto"/>
            </w:pPr>
            <w:r>
              <w:rPr>
                <w:sz w:val="18"/>
              </w:rPr>
              <w:t>Ostali nespomenuti prihodi</w:t>
            </w:r>
          </w:p>
        </w:tc>
        <w:tc>
          <w:tcPr>
            <w:tcW w:w="700" w:type="dxa"/>
            <w:tcMar>
              <w:top w:w="0" w:type="dxa"/>
              <w:bottom w:w="0" w:type="dxa"/>
            </w:tcMar>
            <w:vAlign w:val="center"/>
          </w:tcPr>
          <w:p w14:paraId="3FB4E16F" w14:textId="77777777" w:rsidR="002660AA" w:rsidRDefault="009B260F">
            <w:pPr>
              <w:keepNext/>
              <w:keepLines/>
              <w:spacing w:after="0" w:line="240" w:lineRule="auto"/>
            </w:pPr>
            <w:r>
              <w:rPr>
                <w:sz w:val="18"/>
              </w:rPr>
              <w:t>6526</w:t>
            </w:r>
          </w:p>
        </w:tc>
        <w:tc>
          <w:tcPr>
            <w:tcW w:w="1860" w:type="dxa"/>
            <w:tcMar>
              <w:top w:w="0" w:type="dxa"/>
              <w:bottom w:w="0" w:type="dxa"/>
            </w:tcMar>
            <w:vAlign w:val="center"/>
          </w:tcPr>
          <w:p w14:paraId="193938A4" w14:textId="77777777" w:rsidR="002660AA" w:rsidRDefault="009B260F">
            <w:pPr>
              <w:keepNext/>
              <w:keepLines/>
              <w:spacing w:after="0" w:line="240" w:lineRule="auto"/>
              <w:jc w:val="right"/>
            </w:pPr>
            <w:r>
              <w:rPr>
                <w:sz w:val="18"/>
              </w:rPr>
              <w:t>96.728,05</w:t>
            </w:r>
          </w:p>
        </w:tc>
        <w:tc>
          <w:tcPr>
            <w:tcW w:w="1860" w:type="dxa"/>
            <w:tcMar>
              <w:top w:w="0" w:type="dxa"/>
              <w:bottom w:w="0" w:type="dxa"/>
            </w:tcMar>
            <w:vAlign w:val="center"/>
          </w:tcPr>
          <w:p w14:paraId="433EB2D6" w14:textId="77777777" w:rsidR="002660AA" w:rsidRDefault="009B260F">
            <w:pPr>
              <w:keepNext/>
              <w:keepLines/>
              <w:spacing w:after="0" w:line="240" w:lineRule="auto"/>
              <w:jc w:val="right"/>
            </w:pPr>
            <w:r>
              <w:rPr>
                <w:sz w:val="18"/>
              </w:rPr>
              <w:t>21.215,61</w:t>
            </w:r>
          </w:p>
        </w:tc>
        <w:tc>
          <w:tcPr>
            <w:tcW w:w="700" w:type="dxa"/>
            <w:tcMar>
              <w:top w:w="0" w:type="dxa"/>
              <w:bottom w:w="0" w:type="dxa"/>
            </w:tcMar>
            <w:vAlign w:val="center"/>
          </w:tcPr>
          <w:p w14:paraId="575F8B9D" w14:textId="77777777" w:rsidR="002660AA" w:rsidRDefault="009B260F">
            <w:pPr>
              <w:keepNext/>
              <w:keepLines/>
              <w:spacing w:after="0" w:line="240" w:lineRule="auto"/>
              <w:jc w:val="right"/>
            </w:pPr>
            <w:r>
              <w:rPr>
                <w:sz w:val="18"/>
              </w:rPr>
              <w:t>21,9</w:t>
            </w:r>
          </w:p>
        </w:tc>
      </w:tr>
    </w:tbl>
    <w:p w14:paraId="39E5FC68" w14:textId="77777777" w:rsidR="002660AA" w:rsidRDefault="002660AA">
      <w:pPr>
        <w:spacing w:after="0"/>
      </w:pPr>
    </w:p>
    <w:p w14:paraId="4710E48B" w14:textId="77777777" w:rsidR="002660AA" w:rsidRDefault="009B260F">
      <w:r>
        <w:t>Ostali nespomenuti prihodi bilježe značajni pad isključivo radi promjene konta na kojem se priznaje prihod od usluga naplate naknade za uređenje voda koji se tijekom 2024. godine priznavao na kontu 6526, dok se isti u 2025. godini priznavao na kontu 6615 Prihodi od pruženih usluga. </w:t>
      </w:r>
    </w:p>
    <w:p w14:paraId="6E1C7C43" w14:textId="77777777" w:rsidR="002660AA" w:rsidRDefault="002660AA"/>
    <w:p w14:paraId="55D81963" w14:textId="77777777" w:rsidR="002660AA" w:rsidRDefault="009B260F">
      <w:pPr>
        <w:keepNext/>
        <w:spacing w:line="240" w:lineRule="auto"/>
        <w:jc w:val="center"/>
      </w:pPr>
      <w:r>
        <w:rPr>
          <w:sz w:val="28"/>
        </w:rPr>
        <w:t>Bilješka 24.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B87570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E52DF5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C4E76B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92D95E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4DCEB67"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A3FAD8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7EFF499" w14:textId="77777777" w:rsidR="002660AA" w:rsidRDefault="009B260F">
            <w:pPr>
              <w:keepNext/>
              <w:keepLines/>
              <w:spacing w:after="0" w:line="240" w:lineRule="auto"/>
              <w:jc w:val="center"/>
            </w:pPr>
            <w:r>
              <w:rPr>
                <w:b/>
                <w:sz w:val="18"/>
              </w:rPr>
              <w:t>Indeks (%)</w:t>
            </w:r>
          </w:p>
        </w:tc>
      </w:tr>
      <w:tr w:rsidR="002660AA" w14:paraId="479055FF" w14:textId="77777777">
        <w:tblPrEx>
          <w:tblCellMar>
            <w:top w:w="0" w:type="dxa"/>
            <w:bottom w:w="0" w:type="dxa"/>
          </w:tblCellMar>
        </w:tblPrEx>
        <w:trPr>
          <w:cantSplit/>
          <w:trHeight w:val="560"/>
        </w:trPr>
        <w:tc>
          <w:tcPr>
            <w:tcW w:w="700" w:type="dxa"/>
            <w:tcMar>
              <w:top w:w="0" w:type="dxa"/>
              <w:bottom w:w="0" w:type="dxa"/>
            </w:tcMar>
            <w:vAlign w:val="center"/>
          </w:tcPr>
          <w:p w14:paraId="52230315" w14:textId="77777777" w:rsidR="002660AA" w:rsidRDefault="009B260F">
            <w:pPr>
              <w:keepNext/>
              <w:keepLines/>
              <w:spacing w:after="0" w:line="240" w:lineRule="auto"/>
            </w:pPr>
            <w:r>
              <w:rPr>
                <w:sz w:val="18"/>
              </w:rPr>
              <w:t>653</w:t>
            </w:r>
          </w:p>
        </w:tc>
        <w:tc>
          <w:tcPr>
            <w:tcW w:w="3180" w:type="dxa"/>
            <w:tcMar>
              <w:top w:w="0" w:type="dxa"/>
              <w:bottom w:w="0" w:type="dxa"/>
            </w:tcMar>
            <w:vAlign w:val="center"/>
          </w:tcPr>
          <w:p w14:paraId="243A1E6A" w14:textId="77777777" w:rsidR="002660AA" w:rsidRDefault="009B260F">
            <w:pPr>
              <w:keepNext/>
              <w:keepLines/>
              <w:spacing w:after="0" w:line="240" w:lineRule="auto"/>
            </w:pPr>
            <w:r>
              <w:rPr>
                <w:sz w:val="18"/>
              </w:rPr>
              <w:t>Komunalni doprinosi i naknade (šifre 6531 do 6533)</w:t>
            </w:r>
          </w:p>
        </w:tc>
        <w:tc>
          <w:tcPr>
            <w:tcW w:w="700" w:type="dxa"/>
            <w:tcMar>
              <w:top w:w="0" w:type="dxa"/>
              <w:bottom w:w="0" w:type="dxa"/>
            </w:tcMar>
            <w:vAlign w:val="center"/>
          </w:tcPr>
          <w:p w14:paraId="64AD7D8E" w14:textId="77777777" w:rsidR="002660AA" w:rsidRDefault="009B260F">
            <w:pPr>
              <w:keepNext/>
              <w:keepLines/>
              <w:spacing w:after="0" w:line="240" w:lineRule="auto"/>
            </w:pPr>
            <w:r>
              <w:rPr>
                <w:sz w:val="18"/>
              </w:rPr>
              <w:t>653</w:t>
            </w:r>
          </w:p>
        </w:tc>
        <w:tc>
          <w:tcPr>
            <w:tcW w:w="1860" w:type="dxa"/>
            <w:tcMar>
              <w:top w:w="0" w:type="dxa"/>
              <w:bottom w:w="0" w:type="dxa"/>
            </w:tcMar>
            <w:vAlign w:val="center"/>
          </w:tcPr>
          <w:p w14:paraId="6EB6A180" w14:textId="77777777" w:rsidR="002660AA" w:rsidRDefault="009B260F">
            <w:pPr>
              <w:keepNext/>
              <w:keepLines/>
              <w:spacing w:after="0" w:line="240" w:lineRule="auto"/>
              <w:jc w:val="right"/>
            </w:pPr>
            <w:r>
              <w:rPr>
                <w:sz w:val="18"/>
              </w:rPr>
              <w:t>4.233.084,24</w:t>
            </w:r>
          </w:p>
        </w:tc>
        <w:tc>
          <w:tcPr>
            <w:tcW w:w="1860" w:type="dxa"/>
            <w:tcMar>
              <w:top w:w="0" w:type="dxa"/>
              <w:bottom w:w="0" w:type="dxa"/>
            </w:tcMar>
            <w:vAlign w:val="center"/>
          </w:tcPr>
          <w:p w14:paraId="6F5EA16F" w14:textId="77777777" w:rsidR="002660AA" w:rsidRDefault="009B260F">
            <w:pPr>
              <w:keepNext/>
              <w:keepLines/>
              <w:spacing w:after="0" w:line="240" w:lineRule="auto"/>
              <w:jc w:val="right"/>
            </w:pPr>
            <w:r>
              <w:rPr>
                <w:sz w:val="18"/>
              </w:rPr>
              <w:t>4.273.836,47</w:t>
            </w:r>
          </w:p>
        </w:tc>
        <w:tc>
          <w:tcPr>
            <w:tcW w:w="700" w:type="dxa"/>
            <w:tcMar>
              <w:top w:w="0" w:type="dxa"/>
              <w:bottom w:w="0" w:type="dxa"/>
            </w:tcMar>
            <w:vAlign w:val="center"/>
          </w:tcPr>
          <w:p w14:paraId="1C641BEF" w14:textId="77777777" w:rsidR="002660AA" w:rsidRDefault="009B260F">
            <w:pPr>
              <w:keepNext/>
              <w:keepLines/>
              <w:spacing w:after="0" w:line="240" w:lineRule="auto"/>
              <w:jc w:val="right"/>
            </w:pPr>
            <w:r>
              <w:rPr>
                <w:sz w:val="18"/>
              </w:rPr>
              <w:t>101,0</w:t>
            </w:r>
          </w:p>
        </w:tc>
      </w:tr>
    </w:tbl>
    <w:p w14:paraId="073FFDFE" w14:textId="77777777" w:rsidR="002660AA" w:rsidRDefault="002660AA">
      <w:pPr>
        <w:spacing w:after="0"/>
      </w:pPr>
    </w:p>
    <w:p w14:paraId="3CFFB165" w14:textId="77777777" w:rsidR="002660AA" w:rsidRDefault="009B260F">
      <w:r>
        <w:t>Prihodi od komunalne naknade i doprinosa ne bilježe kumulativno odstupanje, do razlika samo dolazi u strukturi prihoda. Prihod od doprinosa je ostvaren u manjem iznosu što ide u prilog slabljenju građevinskog ciklusa na prostoru grada. Komunalna naknada se naplatila za 4 posto više što ide u prilog sve većoj  urednosti podmirenja obveznika plaćanja iste na području grada.</w:t>
      </w:r>
    </w:p>
    <w:p w14:paraId="38454B68" w14:textId="77777777" w:rsidR="002660AA" w:rsidRDefault="002660AA"/>
    <w:p w14:paraId="556A94D8" w14:textId="77777777" w:rsidR="002660AA" w:rsidRDefault="009B260F">
      <w:pPr>
        <w:keepNext/>
        <w:spacing w:line="240" w:lineRule="auto"/>
        <w:jc w:val="center"/>
      </w:pPr>
      <w:r>
        <w:rPr>
          <w:sz w:val="28"/>
        </w:rPr>
        <w:t>Bilješka 25.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7A6EB3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4DD07EB"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E85C05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C30170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BF0507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D4AE44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D2460EB" w14:textId="77777777" w:rsidR="002660AA" w:rsidRDefault="009B260F">
            <w:pPr>
              <w:keepNext/>
              <w:keepLines/>
              <w:spacing w:after="0" w:line="240" w:lineRule="auto"/>
              <w:jc w:val="center"/>
            </w:pPr>
            <w:r>
              <w:rPr>
                <w:b/>
                <w:sz w:val="18"/>
              </w:rPr>
              <w:t>Indeks (%)</w:t>
            </w:r>
          </w:p>
        </w:tc>
      </w:tr>
      <w:tr w:rsidR="002660AA" w14:paraId="3B3156BB" w14:textId="77777777">
        <w:tblPrEx>
          <w:tblCellMar>
            <w:top w:w="0" w:type="dxa"/>
            <w:bottom w:w="0" w:type="dxa"/>
          </w:tblCellMar>
        </w:tblPrEx>
        <w:trPr>
          <w:cantSplit/>
          <w:trHeight w:val="560"/>
        </w:trPr>
        <w:tc>
          <w:tcPr>
            <w:tcW w:w="700" w:type="dxa"/>
            <w:tcMar>
              <w:top w:w="0" w:type="dxa"/>
              <w:bottom w:w="0" w:type="dxa"/>
            </w:tcMar>
            <w:vAlign w:val="center"/>
          </w:tcPr>
          <w:p w14:paraId="199A80A3" w14:textId="77777777" w:rsidR="002660AA" w:rsidRDefault="009B260F">
            <w:pPr>
              <w:keepNext/>
              <w:keepLines/>
              <w:spacing w:after="0" w:line="240" w:lineRule="auto"/>
            </w:pPr>
            <w:r>
              <w:rPr>
                <w:sz w:val="18"/>
              </w:rPr>
              <w:t>6615</w:t>
            </w:r>
          </w:p>
        </w:tc>
        <w:tc>
          <w:tcPr>
            <w:tcW w:w="3180" w:type="dxa"/>
            <w:tcMar>
              <w:top w:w="0" w:type="dxa"/>
              <w:bottom w:w="0" w:type="dxa"/>
            </w:tcMar>
            <w:vAlign w:val="center"/>
          </w:tcPr>
          <w:p w14:paraId="5745B705" w14:textId="77777777" w:rsidR="002660AA" w:rsidRDefault="009B260F">
            <w:pPr>
              <w:keepNext/>
              <w:keepLines/>
              <w:spacing w:after="0" w:line="240" w:lineRule="auto"/>
            </w:pPr>
            <w:r>
              <w:rPr>
                <w:sz w:val="18"/>
              </w:rPr>
              <w:t>Prihodi od pruženih usluga</w:t>
            </w:r>
          </w:p>
        </w:tc>
        <w:tc>
          <w:tcPr>
            <w:tcW w:w="700" w:type="dxa"/>
            <w:tcMar>
              <w:top w:w="0" w:type="dxa"/>
              <w:bottom w:w="0" w:type="dxa"/>
            </w:tcMar>
            <w:vAlign w:val="center"/>
          </w:tcPr>
          <w:p w14:paraId="288B116F" w14:textId="77777777" w:rsidR="002660AA" w:rsidRDefault="009B260F">
            <w:pPr>
              <w:keepNext/>
              <w:keepLines/>
              <w:spacing w:after="0" w:line="240" w:lineRule="auto"/>
            </w:pPr>
            <w:r>
              <w:rPr>
                <w:sz w:val="18"/>
              </w:rPr>
              <w:t>6615</w:t>
            </w:r>
          </w:p>
        </w:tc>
        <w:tc>
          <w:tcPr>
            <w:tcW w:w="1860" w:type="dxa"/>
            <w:tcMar>
              <w:top w:w="0" w:type="dxa"/>
              <w:bottom w:w="0" w:type="dxa"/>
            </w:tcMar>
            <w:vAlign w:val="center"/>
          </w:tcPr>
          <w:p w14:paraId="7A28A843"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04CC037C" w14:textId="77777777" w:rsidR="002660AA" w:rsidRDefault="009B260F">
            <w:pPr>
              <w:keepNext/>
              <w:keepLines/>
              <w:spacing w:after="0" w:line="240" w:lineRule="auto"/>
              <w:jc w:val="right"/>
            </w:pPr>
            <w:r>
              <w:rPr>
                <w:sz w:val="18"/>
              </w:rPr>
              <w:t>84.525,88</w:t>
            </w:r>
          </w:p>
        </w:tc>
        <w:tc>
          <w:tcPr>
            <w:tcW w:w="700" w:type="dxa"/>
            <w:tcMar>
              <w:top w:w="0" w:type="dxa"/>
              <w:bottom w:w="0" w:type="dxa"/>
            </w:tcMar>
            <w:vAlign w:val="center"/>
          </w:tcPr>
          <w:p w14:paraId="21AE6A51" w14:textId="77777777" w:rsidR="002660AA" w:rsidRDefault="009B260F">
            <w:pPr>
              <w:keepNext/>
              <w:keepLines/>
              <w:spacing w:after="0" w:line="240" w:lineRule="auto"/>
              <w:jc w:val="right"/>
            </w:pPr>
            <w:r>
              <w:rPr>
                <w:sz w:val="18"/>
              </w:rPr>
              <w:t>-</w:t>
            </w:r>
          </w:p>
        </w:tc>
      </w:tr>
    </w:tbl>
    <w:p w14:paraId="6ED90B56" w14:textId="77777777" w:rsidR="002660AA" w:rsidRDefault="002660AA">
      <w:pPr>
        <w:spacing w:after="0"/>
      </w:pPr>
    </w:p>
    <w:p w14:paraId="1794E66B" w14:textId="77777777" w:rsidR="002660AA" w:rsidRDefault="009B260F">
      <w:r>
        <w:t>Prihodi od pruženih usluga bilježe realizaciju dok iste nije bilo u prethodnoj godini. Riječ je o promjeni konta na kojem se priznaje prihod od usluga naplate naknade za uređenje voda koji se tijekom 2024. godine priznavao na kontu 6526, dok se isti u 2025. godini priznavao na kontu 6615 Prihodi od pruženih usluga. </w:t>
      </w:r>
    </w:p>
    <w:p w14:paraId="46585A3B" w14:textId="77777777" w:rsidR="002660AA" w:rsidRDefault="002660AA"/>
    <w:p w14:paraId="468A6E96" w14:textId="77777777" w:rsidR="002660AA" w:rsidRDefault="009B260F">
      <w:pPr>
        <w:keepNext/>
        <w:spacing w:line="240" w:lineRule="auto"/>
        <w:jc w:val="center"/>
      </w:pPr>
      <w:r>
        <w:rPr>
          <w:sz w:val="28"/>
        </w:rPr>
        <w:t>Bilješka 26.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72BEB8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7C1529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E89A25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1252A9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9DF8D9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046BBA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49AF167" w14:textId="77777777" w:rsidR="002660AA" w:rsidRDefault="009B260F">
            <w:pPr>
              <w:keepNext/>
              <w:keepLines/>
              <w:spacing w:after="0" w:line="240" w:lineRule="auto"/>
              <w:jc w:val="center"/>
            </w:pPr>
            <w:r>
              <w:rPr>
                <w:b/>
                <w:sz w:val="18"/>
              </w:rPr>
              <w:t>Indeks (%)</w:t>
            </w:r>
          </w:p>
        </w:tc>
      </w:tr>
      <w:tr w:rsidR="002660AA" w14:paraId="6A29AF48" w14:textId="77777777">
        <w:tblPrEx>
          <w:tblCellMar>
            <w:top w:w="0" w:type="dxa"/>
            <w:bottom w:w="0" w:type="dxa"/>
          </w:tblCellMar>
        </w:tblPrEx>
        <w:trPr>
          <w:cantSplit/>
          <w:trHeight w:val="560"/>
        </w:trPr>
        <w:tc>
          <w:tcPr>
            <w:tcW w:w="700" w:type="dxa"/>
            <w:tcMar>
              <w:top w:w="0" w:type="dxa"/>
              <w:bottom w:w="0" w:type="dxa"/>
            </w:tcMar>
            <w:vAlign w:val="center"/>
          </w:tcPr>
          <w:p w14:paraId="6AF7CEFE" w14:textId="77777777" w:rsidR="002660AA" w:rsidRDefault="009B260F">
            <w:pPr>
              <w:keepNext/>
              <w:keepLines/>
              <w:spacing w:after="0" w:line="240" w:lineRule="auto"/>
            </w:pPr>
            <w:r>
              <w:rPr>
                <w:sz w:val="18"/>
              </w:rPr>
              <w:t>6631</w:t>
            </w:r>
          </w:p>
        </w:tc>
        <w:tc>
          <w:tcPr>
            <w:tcW w:w="3180" w:type="dxa"/>
            <w:tcMar>
              <w:top w:w="0" w:type="dxa"/>
              <w:bottom w:w="0" w:type="dxa"/>
            </w:tcMar>
            <w:vAlign w:val="center"/>
          </w:tcPr>
          <w:p w14:paraId="3FCCD997" w14:textId="77777777" w:rsidR="002660AA" w:rsidRDefault="009B260F">
            <w:pPr>
              <w:keepNext/>
              <w:keepLines/>
              <w:spacing w:after="0" w:line="240" w:lineRule="auto"/>
            </w:pPr>
            <w:r>
              <w:rPr>
                <w:sz w:val="18"/>
              </w:rPr>
              <w:t>Tekuće donacije</w:t>
            </w:r>
          </w:p>
        </w:tc>
        <w:tc>
          <w:tcPr>
            <w:tcW w:w="700" w:type="dxa"/>
            <w:tcMar>
              <w:top w:w="0" w:type="dxa"/>
              <w:bottom w:w="0" w:type="dxa"/>
            </w:tcMar>
            <w:vAlign w:val="center"/>
          </w:tcPr>
          <w:p w14:paraId="30C43E50" w14:textId="77777777" w:rsidR="002660AA" w:rsidRDefault="009B260F">
            <w:pPr>
              <w:keepNext/>
              <w:keepLines/>
              <w:spacing w:after="0" w:line="240" w:lineRule="auto"/>
            </w:pPr>
            <w:r>
              <w:rPr>
                <w:sz w:val="18"/>
              </w:rPr>
              <w:t>6631</w:t>
            </w:r>
          </w:p>
        </w:tc>
        <w:tc>
          <w:tcPr>
            <w:tcW w:w="1860" w:type="dxa"/>
            <w:tcMar>
              <w:top w:w="0" w:type="dxa"/>
              <w:bottom w:w="0" w:type="dxa"/>
            </w:tcMar>
            <w:vAlign w:val="center"/>
          </w:tcPr>
          <w:p w14:paraId="73974F56" w14:textId="77777777" w:rsidR="002660AA" w:rsidRDefault="009B260F">
            <w:pPr>
              <w:keepNext/>
              <w:keepLines/>
              <w:spacing w:after="0" w:line="240" w:lineRule="auto"/>
              <w:jc w:val="right"/>
            </w:pPr>
            <w:r>
              <w:rPr>
                <w:sz w:val="18"/>
              </w:rPr>
              <w:t>615,63</w:t>
            </w:r>
          </w:p>
        </w:tc>
        <w:tc>
          <w:tcPr>
            <w:tcW w:w="1860" w:type="dxa"/>
            <w:tcMar>
              <w:top w:w="0" w:type="dxa"/>
              <w:bottom w:w="0" w:type="dxa"/>
            </w:tcMar>
            <w:vAlign w:val="center"/>
          </w:tcPr>
          <w:p w14:paraId="0ECB9300" w14:textId="77777777" w:rsidR="002660AA" w:rsidRDefault="009B260F">
            <w:pPr>
              <w:keepNext/>
              <w:keepLines/>
              <w:spacing w:after="0" w:line="240" w:lineRule="auto"/>
              <w:jc w:val="right"/>
            </w:pPr>
            <w:r>
              <w:rPr>
                <w:sz w:val="18"/>
              </w:rPr>
              <w:t>2.193,66</w:t>
            </w:r>
          </w:p>
        </w:tc>
        <w:tc>
          <w:tcPr>
            <w:tcW w:w="700" w:type="dxa"/>
            <w:tcMar>
              <w:top w:w="0" w:type="dxa"/>
              <w:bottom w:w="0" w:type="dxa"/>
            </w:tcMar>
            <w:vAlign w:val="center"/>
          </w:tcPr>
          <w:p w14:paraId="32D32B1C" w14:textId="77777777" w:rsidR="002660AA" w:rsidRDefault="009B260F">
            <w:pPr>
              <w:keepNext/>
              <w:keepLines/>
              <w:spacing w:after="0" w:line="240" w:lineRule="auto"/>
              <w:jc w:val="right"/>
            </w:pPr>
            <w:r>
              <w:rPr>
                <w:sz w:val="18"/>
              </w:rPr>
              <w:t>356,3</w:t>
            </w:r>
          </w:p>
        </w:tc>
      </w:tr>
    </w:tbl>
    <w:p w14:paraId="5C363C64" w14:textId="77777777" w:rsidR="002660AA" w:rsidRDefault="002660AA">
      <w:pPr>
        <w:spacing w:after="0"/>
      </w:pPr>
    </w:p>
    <w:p w14:paraId="27B79D00" w14:textId="77777777" w:rsidR="002660AA" w:rsidRDefault="009B260F">
      <w:r>
        <w:t>Tekuće donacije bilježe rast radi uplate donacije od OTB d.d. banke za projekt besplatnih bilježnica koji grad kontinuirano provodi veći niz godina.</w:t>
      </w:r>
    </w:p>
    <w:p w14:paraId="4A0EC637" w14:textId="77777777" w:rsidR="002660AA" w:rsidRDefault="002660AA"/>
    <w:p w14:paraId="33D7152E" w14:textId="77777777" w:rsidR="002660AA" w:rsidRDefault="009B260F">
      <w:pPr>
        <w:keepNext/>
        <w:spacing w:line="240" w:lineRule="auto"/>
        <w:jc w:val="center"/>
      </w:pPr>
      <w:r>
        <w:rPr>
          <w:sz w:val="28"/>
        </w:rPr>
        <w:t>Bilješka 27.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BECEED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D54607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904F45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E1EA24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84403C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452243E"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E45196A" w14:textId="77777777" w:rsidR="002660AA" w:rsidRDefault="009B260F">
            <w:pPr>
              <w:keepNext/>
              <w:keepLines/>
              <w:spacing w:after="0" w:line="240" w:lineRule="auto"/>
              <w:jc w:val="center"/>
            </w:pPr>
            <w:r>
              <w:rPr>
                <w:b/>
                <w:sz w:val="18"/>
              </w:rPr>
              <w:t>Indeks (%)</w:t>
            </w:r>
          </w:p>
        </w:tc>
      </w:tr>
      <w:tr w:rsidR="002660AA" w14:paraId="3338CBC8" w14:textId="77777777">
        <w:tblPrEx>
          <w:tblCellMar>
            <w:top w:w="0" w:type="dxa"/>
            <w:bottom w:w="0" w:type="dxa"/>
          </w:tblCellMar>
        </w:tblPrEx>
        <w:trPr>
          <w:cantSplit/>
          <w:trHeight w:val="560"/>
        </w:trPr>
        <w:tc>
          <w:tcPr>
            <w:tcW w:w="700" w:type="dxa"/>
            <w:tcMar>
              <w:top w:w="0" w:type="dxa"/>
              <w:bottom w:w="0" w:type="dxa"/>
            </w:tcMar>
            <w:vAlign w:val="center"/>
          </w:tcPr>
          <w:p w14:paraId="6B94A20C" w14:textId="77777777" w:rsidR="002660AA" w:rsidRDefault="009B260F">
            <w:pPr>
              <w:keepNext/>
              <w:keepLines/>
              <w:spacing w:after="0" w:line="240" w:lineRule="auto"/>
            </w:pPr>
            <w:r>
              <w:rPr>
                <w:sz w:val="18"/>
              </w:rPr>
              <w:t>6632</w:t>
            </w:r>
          </w:p>
        </w:tc>
        <w:tc>
          <w:tcPr>
            <w:tcW w:w="3180" w:type="dxa"/>
            <w:tcMar>
              <w:top w:w="0" w:type="dxa"/>
              <w:bottom w:w="0" w:type="dxa"/>
            </w:tcMar>
            <w:vAlign w:val="center"/>
          </w:tcPr>
          <w:p w14:paraId="401999AD" w14:textId="77777777" w:rsidR="002660AA" w:rsidRDefault="009B260F">
            <w:pPr>
              <w:keepNext/>
              <w:keepLines/>
              <w:spacing w:after="0" w:line="240" w:lineRule="auto"/>
            </w:pPr>
            <w:r>
              <w:rPr>
                <w:sz w:val="18"/>
              </w:rPr>
              <w:t>Kapitalne donacije</w:t>
            </w:r>
          </w:p>
        </w:tc>
        <w:tc>
          <w:tcPr>
            <w:tcW w:w="700" w:type="dxa"/>
            <w:tcMar>
              <w:top w:w="0" w:type="dxa"/>
              <w:bottom w:w="0" w:type="dxa"/>
            </w:tcMar>
            <w:vAlign w:val="center"/>
          </w:tcPr>
          <w:p w14:paraId="31294A4E" w14:textId="77777777" w:rsidR="002660AA" w:rsidRDefault="009B260F">
            <w:pPr>
              <w:keepNext/>
              <w:keepLines/>
              <w:spacing w:after="0" w:line="240" w:lineRule="auto"/>
            </w:pPr>
            <w:r>
              <w:rPr>
                <w:sz w:val="18"/>
              </w:rPr>
              <w:t>6632</w:t>
            </w:r>
          </w:p>
        </w:tc>
        <w:tc>
          <w:tcPr>
            <w:tcW w:w="1860" w:type="dxa"/>
            <w:tcMar>
              <w:top w:w="0" w:type="dxa"/>
              <w:bottom w:w="0" w:type="dxa"/>
            </w:tcMar>
            <w:vAlign w:val="center"/>
          </w:tcPr>
          <w:p w14:paraId="18145E9E"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607E836D" w14:textId="77777777" w:rsidR="002660AA" w:rsidRDefault="009B260F">
            <w:pPr>
              <w:keepNext/>
              <w:keepLines/>
              <w:spacing w:after="0" w:line="240" w:lineRule="auto"/>
              <w:jc w:val="right"/>
            </w:pPr>
            <w:r>
              <w:rPr>
                <w:sz w:val="18"/>
              </w:rPr>
              <w:t>5.143,63</w:t>
            </w:r>
          </w:p>
        </w:tc>
        <w:tc>
          <w:tcPr>
            <w:tcW w:w="700" w:type="dxa"/>
            <w:tcMar>
              <w:top w:w="0" w:type="dxa"/>
              <w:bottom w:w="0" w:type="dxa"/>
            </w:tcMar>
            <w:vAlign w:val="center"/>
          </w:tcPr>
          <w:p w14:paraId="7084D6FE" w14:textId="77777777" w:rsidR="002660AA" w:rsidRDefault="009B260F">
            <w:pPr>
              <w:keepNext/>
              <w:keepLines/>
              <w:spacing w:after="0" w:line="240" w:lineRule="auto"/>
              <w:jc w:val="right"/>
            </w:pPr>
            <w:r>
              <w:rPr>
                <w:sz w:val="18"/>
              </w:rPr>
              <w:t>-</w:t>
            </w:r>
          </w:p>
        </w:tc>
      </w:tr>
    </w:tbl>
    <w:p w14:paraId="24EE74BA" w14:textId="77777777" w:rsidR="002660AA" w:rsidRDefault="002660AA">
      <w:pPr>
        <w:spacing w:after="0"/>
      </w:pPr>
    </w:p>
    <w:p w14:paraId="6B00B878" w14:textId="77777777" w:rsidR="002660AA" w:rsidRDefault="009B260F">
      <w:r>
        <w:t>Kapitalne donacije 2024. godine nisu imale realizaciju dok je ista 2025. godine iznosila 5.143,63 EUR. Riječ je o darovanju zemljišta od strane fizičkih osoba te donaciji trgovačkog društva za postavu prometnog zrcala.</w:t>
      </w:r>
    </w:p>
    <w:p w14:paraId="15B1B694" w14:textId="77777777" w:rsidR="002660AA" w:rsidRDefault="002660AA"/>
    <w:p w14:paraId="5DB5FD4B" w14:textId="77777777" w:rsidR="002660AA" w:rsidRDefault="009B260F">
      <w:pPr>
        <w:keepNext/>
        <w:spacing w:line="240" w:lineRule="auto"/>
        <w:jc w:val="center"/>
      </w:pPr>
      <w:r>
        <w:rPr>
          <w:sz w:val="28"/>
        </w:rPr>
        <w:t>Bilješka 28.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10AAF7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9C3028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945F96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C7D828A"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605C2B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60BFDD6"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515D149" w14:textId="77777777" w:rsidR="002660AA" w:rsidRDefault="009B260F">
            <w:pPr>
              <w:keepNext/>
              <w:keepLines/>
              <w:spacing w:after="0" w:line="240" w:lineRule="auto"/>
              <w:jc w:val="center"/>
            </w:pPr>
            <w:r>
              <w:rPr>
                <w:b/>
                <w:sz w:val="18"/>
              </w:rPr>
              <w:t>Indeks (%)</w:t>
            </w:r>
          </w:p>
        </w:tc>
      </w:tr>
      <w:tr w:rsidR="002660AA" w14:paraId="5B8862AD" w14:textId="77777777">
        <w:tblPrEx>
          <w:tblCellMar>
            <w:top w:w="0" w:type="dxa"/>
            <w:bottom w:w="0" w:type="dxa"/>
          </w:tblCellMar>
        </w:tblPrEx>
        <w:trPr>
          <w:cantSplit/>
          <w:trHeight w:val="560"/>
        </w:trPr>
        <w:tc>
          <w:tcPr>
            <w:tcW w:w="700" w:type="dxa"/>
            <w:tcMar>
              <w:top w:w="0" w:type="dxa"/>
              <w:bottom w:w="0" w:type="dxa"/>
            </w:tcMar>
            <w:vAlign w:val="center"/>
          </w:tcPr>
          <w:p w14:paraId="31FB43AD" w14:textId="77777777" w:rsidR="002660AA" w:rsidRDefault="009B260F">
            <w:pPr>
              <w:keepNext/>
              <w:keepLines/>
              <w:spacing w:after="0" w:line="240" w:lineRule="auto"/>
            </w:pPr>
            <w:r>
              <w:rPr>
                <w:sz w:val="18"/>
              </w:rPr>
              <w:t>6819</w:t>
            </w:r>
          </w:p>
        </w:tc>
        <w:tc>
          <w:tcPr>
            <w:tcW w:w="3180" w:type="dxa"/>
            <w:tcMar>
              <w:top w:w="0" w:type="dxa"/>
              <w:bottom w:w="0" w:type="dxa"/>
            </w:tcMar>
            <w:vAlign w:val="center"/>
          </w:tcPr>
          <w:p w14:paraId="0F600198" w14:textId="77777777" w:rsidR="002660AA" w:rsidRDefault="009B260F">
            <w:pPr>
              <w:keepNext/>
              <w:keepLines/>
              <w:spacing w:after="0" w:line="240" w:lineRule="auto"/>
            </w:pPr>
            <w:r>
              <w:rPr>
                <w:sz w:val="18"/>
              </w:rPr>
              <w:t>Ostale kazne</w:t>
            </w:r>
          </w:p>
        </w:tc>
        <w:tc>
          <w:tcPr>
            <w:tcW w:w="700" w:type="dxa"/>
            <w:tcMar>
              <w:top w:w="0" w:type="dxa"/>
              <w:bottom w:w="0" w:type="dxa"/>
            </w:tcMar>
            <w:vAlign w:val="center"/>
          </w:tcPr>
          <w:p w14:paraId="7129CB1B" w14:textId="77777777" w:rsidR="002660AA" w:rsidRDefault="009B260F">
            <w:pPr>
              <w:keepNext/>
              <w:keepLines/>
              <w:spacing w:after="0" w:line="240" w:lineRule="auto"/>
            </w:pPr>
            <w:r>
              <w:rPr>
                <w:sz w:val="18"/>
              </w:rPr>
              <w:t>6819</w:t>
            </w:r>
          </w:p>
        </w:tc>
        <w:tc>
          <w:tcPr>
            <w:tcW w:w="1860" w:type="dxa"/>
            <w:tcMar>
              <w:top w:w="0" w:type="dxa"/>
              <w:bottom w:w="0" w:type="dxa"/>
            </w:tcMar>
            <w:vAlign w:val="center"/>
          </w:tcPr>
          <w:p w14:paraId="6B61AF0F" w14:textId="77777777" w:rsidR="002660AA" w:rsidRDefault="009B260F">
            <w:pPr>
              <w:keepNext/>
              <w:keepLines/>
              <w:spacing w:after="0" w:line="240" w:lineRule="auto"/>
              <w:jc w:val="right"/>
            </w:pPr>
            <w:r>
              <w:rPr>
                <w:sz w:val="18"/>
              </w:rPr>
              <w:t>17.672,20</w:t>
            </w:r>
          </w:p>
        </w:tc>
        <w:tc>
          <w:tcPr>
            <w:tcW w:w="1860" w:type="dxa"/>
            <w:tcMar>
              <w:top w:w="0" w:type="dxa"/>
              <w:bottom w:w="0" w:type="dxa"/>
            </w:tcMar>
            <w:vAlign w:val="center"/>
          </w:tcPr>
          <w:p w14:paraId="1D85D427" w14:textId="77777777" w:rsidR="002660AA" w:rsidRDefault="009B260F">
            <w:pPr>
              <w:keepNext/>
              <w:keepLines/>
              <w:spacing w:after="0" w:line="240" w:lineRule="auto"/>
              <w:jc w:val="right"/>
            </w:pPr>
            <w:r>
              <w:rPr>
                <w:sz w:val="18"/>
              </w:rPr>
              <w:t>14.957,64</w:t>
            </w:r>
          </w:p>
        </w:tc>
        <w:tc>
          <w:tcPr>
            <w:tcW w:w="700" w:type="dxa"/>
            <w:tcMar>
              <w:top w:w="0" w:type="dxa"/>
              <w:bottom w:w="0" w:type="dxa"/>
            </w:tcMar>
            <w:vAlign w:val="center"/>
          </w:tcPr>
          <w:p w14:paraId="32289FD4" w14:textId="77777777" w:rsidR="002660AA" w:rsidRDefault="009B260F">
            <w:pPr>
              <w:keepNext/>
              <w:keepLines/>
              <w:spacing w:after="0" w:line="240" w:lineRule="auto"/>
              <w:jc w:val="right"/>
            </w:pPr>
            <w:r>
              <w:rPr>
                <w:sz w:val="18"/>
              </w:rPr>
              <w:t>84,6</w:t>
            </w:r>
          </w:p>
        </w:tc>
      </w:tr>
    </w:tbl>
    <w:p w14:paraId="1A3E7ECF" w14:textId="77777777" w:rsidR="002660AA" w:rsidRDefault="002660AA">
      <w:pPr>
        <w:spacing w:after="0"/>
      </w:pPr>
    </w:p>
    <w:p w14:paraId="6A939D9E" w14:textId="77777777" w:rsidR="002660AA" w:rsidRDefault="009B260F">
      <w:r>
        <w:t>Ostale kazne bilježe pad jer je tijekom 2024. godine grad prihodovao određena sredstva na ime naknada troškova uređenja zapuštene nekretnine od pravnih osoba. Na tom kontu bilježi se i prihod troškova ovrhe za ovršene. </w:t>
      </w:r>
    </w:p>
    <w:p w14:paraId="3C12AF1C" w14:textId="77777777" w:rsidR="002660AA" w:rsidRDefault="002660AA"/>
    <w:p w14:paraId="33D4908D" w14:textId="77777777" w:rsidR="002660AA" w:rsidRDefault="009B260F">
      <w:pPr>
        <w:keepNext/>
        <w:spacing w:line="240" w:lineRule="auto"/>
        <w:jc w:val="center"/>
      </w:pPr>
      <w:r>
        <w:rPr>
          <w:sz w:val="28"/>
        </w:rPr>
        <w:t>Bilješka 29.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D21C77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CBA40B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051C85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7F378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781F6E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FEAEDD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2B321BB" w14:textId="77777777" w:rsidR="002660AA" w:rsidRDefault="009B260F">
            <w:pPr>
              <w:keepNext/>
              <w:keepLines/>
              <w:spacing w:after="0" w:line="240" w:lineRule="auto"/>
              <w:jc w:val="center"/>
            </w:pPr>
            <w:r>
              <w:rPr>
                <w:b/>
                <w:sz w:val="18"/>
              </w:rPr>
              <w:t>Indeks (%)</w:t>
            </w:r>
          </w:p>
        </w:tc>
      </w:tr>
      <w:tr w:rsidR="002660AA" w14:paraId="72BAF760" w14:textId="77777777">
        <w:tblPrEx>
          <w:tblCellMar>
            <w:top w:w="0" w:type="dxa"/>
            <w:bottom w:w="0" w:type="dxa"/>
          </w:tblCellMar>
        </w:tblPrEx>
        <w:trPr>
          <w:cantSplit/>
          <w:trHeight w:val="560"/>
        </w:trPr>
        <w:tc>
          <w:tcPr>
            <w:tcW w:w="700" w:type="dxa"/>
            <w:tcMar>
              <w:top w:w="0" w:type="dxa"/>
              <w:bottom w:w="0" w:type="dxa"/>
            </w:tcMar>
            <w:vAlign w:val="center"/>
          </w:tcPr>
          <w:p w14:paraId="33EF0E55" w14:textId="77777777" w:rsidR="002660AA" w:rsidRDefault="009B260F">
            <w:pPr>
              <w:keepNext/>
              <w:keepLines/>
              <w:spacing w:after="0" w:line="240" w:lineRule="auto"/>
            </w:pPr>
            <w:r>
              <w:rPr>
                <w:sz w:val="18"/>
              </w:rPr>
              <w:t>683</w:t>
            </w:r>
          </w:p>
        </w:tc>
        <w:tc>
          <w:tcPr>
            <w:tcW w:w="3180" w:type="dxa"/>
            <w:tcMar>
              <w:top w:w="0" w:type="dxa"/>
              <w:bottom w:w="0" w:type="dxa"/>
            </w:tcMar>
            <w:vAlign w:val="center"/>
          </w:tcPr>
          <w:p w14:paraId="75059962" w14:textId="77777777" w:rsidR="002660AA" w:rsidRDefault="009B260F">
            <w:pPr>
              <w:keepNext/>
              <w:keepLines/>
              <w:spacing w:after="0" w:line="240" w:lineRule="auto"/>
            </w:pPr>
            <w:r>
              <w:rPr>
                <w:sz w:val="18"/>
              </w:rPr>
              <w:t>Ostali prihodi</w:t>
            </w:r>
          </w:p>
        </w:tc>
        <w:tc>
          <w:tcPr>
            <w:tcW w:w="700" w:type="dxa"/>
            <w:tcMar>
              <w:top w:w="0" w:type="dxa"/>
              <w:bottom w:w="0" w:type="dxa"/>
            </w:tcMar>
            <w:vAlign w:val="center"/>
          </w:tcPr>
          <w:p w14:paraId="72DA41E1" w14:textId="77777777" w:rsidR="002660AA" w:rsidRDefault="009B260F">
            <w:pPr>
              <w:keepNext/>
              <w:keepLines/>
              <w:spacing w:after="0" w:line="240" w:lineRule="auto"/>
            </w:pPr>
            <w:r>
              <w:rPr>
                <w:sz w:val="18"/>
              </w:rPr>
              <w:t>683</w:t>
            </w:r>
          </w:p>
        </w:tc>
        <w:tc>
          <w:tcPr>
            <w:tcW w:w="1860" w:type="dxa"/>
            <w:tcMar>
              <w:top w:w="0" w:type="dxa"/>
              <w:bottom w:w="0" w:type="dxa"/>
            </w:tcMar>
            <w:vAlign w:val="center"/>
          </w:tcPr>
          <w:p w14:paraId="3A1E498D" w14:textId="77777777" w:rsidR="002660AA" w:rsidRDefault="009B260F">
            <w:pPr>
              <w:keepNext/>
              <w:keepLines/>
              <w:spacing w:after="0" w:line="240" w:lineRule="auto"/>
              <w:jc w:val="right"/>
            </w:pPr>
            <w:r>
              <w:rPr>
                <w:sz w:val="18"/>
              </w:rPr>
              <w:t>232.041,33</w:t>
            </w:r>
          </w:p>
        </w:tc>
        <w:tc>
          <w:tcPr>
            <w:tcW w:w="1860" w:type="dxa"/>
            <w:tcMar>
              <w:top w:w="0" w:type="dxa"/>
              <w:bottom w:w="0" w:type="dxa"/>
            </w:tcMar>
            <w:vAlign w:val="center"/>
          </w:tcPr>
          <w:p w14:paraId="36F886F5" w14:textId="77777777" w:rsidR="002660AA" w:rsidRDefault="009B260F">
            <w:pPr>
              <w:keepNext/>
              <w:keepLines/>
              <w:spacing w:after="0" w:line="240" w:lineRule="auto"/>
              <w:jc w:val="right"/>
            </w:pPr>
            <w:r>
              <w:rPr>
                <w:sz w:val="18"/>
              </w:rPr>
              <w:t>369.734,30</w:t>
            </w:r>
          </w:p>
        </w:tc>
        <w:tc>
          <w:tcPr>
            <w:tcW w:w="700" w:type="dxa"/>
            <w:tcMar>
              <w:top w:w="0" w:type="dxa"/>
              <w:bottom w:w="0" w:type="dxa"/>
            </w:tcMar>
            <w:vAlign w:val="center"/>
          </w:tcPr>
          <w:p w14:paraId="775E2B95" w14:textId="77777777" w:rsidR="002660AA" w:rsidRDefault="009B260F">
            <w:pPr>
              <w:keepNext/>
              <w:keepLines/>
              <w:spacing w:after="0" w:line="240" w:lineRule="auto"/>
              <w:jc w:val="right"/>
            </w:pPr>
            <w:r>
              <w:rPr>
                <w:sz w:val="18"/>
              </w:rPr>
              <w:t>159,3</w:t>
            </w:r>
          </w:p>
        </w:tc>
      </w:tr>
    </w:tbl>
    <w:p w14:paraId="09B10EA5" w14:textId="77777777" w:rsidR="002660AA" w:rsidRDefault="002660AA">
      <w:pPr>
        <w:spacing w:after="0"/>
      </w:pPr>
    </w:p>
    <w:p w14:paraId="688B91A7" w14:textId="77777777" w:rsidR="002660AA" w:rsidRDefault="009B260F">
      <w:r>
        <w:t>Ostali prihodi bilježe rast zbog evidentiranog povrata sredstava od strane Opće bolnice „Dr. Tomislav Bardek“ po predmetnom postupku Rev 652/2024-2, a koji se odnosi na povrat komunalnog doprinosa.</w:t>
      </w:r>
    </w:p>
    <w:p w14:paraId="4D5F98F8" w14:textId="77777777" w:rsidR="002660AA" w:rsidRDefault="002660AA"/>
    <w:p w14:paraId="677C521C" w14:textId="77777777" w:rsidR="002660AA" w:rsidRDefault="009B260F">
      <w:pPr>
        <w:keepNext/>
        <w:spacing w:line="240" w:lineRule="auto"/>
        <w:jc w:val="center"/>
      </w:pPr>
      <w:r>
        <w:rPr>
          <w:sz w:val="28"/>
        </w:rPr>
        <w:t>Bilješka 30.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63FCA4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766EB3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25A7E2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4A6DB4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376B0B"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912519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ED0404F" w14:textId="77777777" w:rsidR="002660AA" w:rsidRDefault="009B260F">
            <w:pPr>
              <w:keepNext/>
              <w:keepLines/>
              <w:spacing w:after="0" w:line="240" w:lineRule="auto"/>
              <w:jc w:val="center"/>
            </w:pPr>
            <w:r>
              <w:rPr>
                <w:b/>
                <w:sz w:val="18"/>
              </w:rPr>
              <w:t>Indeks (%)</w:t>
            </w:r>
          </w:p>
        </w:tc>
      </w:tr>
      <w:tr w:rsidR="002660AA" w14:paraId="131F5306" w14:textId="77777777">
        <w:tblPrEx>
          <w:tblCellMar>
            <w:top w:w="0" w:type="dxa"/>
            <w:bottom w:w="0" w:type="dxa"/>
          </w:tblCellMar>
        </w:tblPrEx>
        <w:trPr>
          <w:cantSplit/>
          <w:trHeight w:val="560"/>
        </w:trPr>
        <w:tc>
          <w:tcPr>
            <w:tcW w:w="700" w:type="dxa"/>
            <w:tcMar>
              <w:top w:w="0" w:type="dxa"/>
              <w:bottom w:w="0" w:type="dxa"/>
            </w:tcMar>
            <w:vAlign w:val="center"/>
          </w:tcPr>
          <w:p w14:paraId="483ED1E4" w14:textId="77777777" w:rsidR="002660AA" w:rsidRDefault="009B260F">
            <w:pPr>
              <w:keepNext/>
              <w:keepLines/>
              <w:spacing w:after="0" w:line="240" w:lineRule="auto"/>
            </w:pPr>
            <w:r>
              <w:rPr>
                <w:sz w:val="18"/>
              </w:rPr>
              <w:t>3111</w:t>
            </w:r>
          </w:p>
        </w:tc>
        <w:tc>
          <w:tcPr>
            <w:tcW w:w="3180" w:type="dxa"/>
            <w:tcMar>
              <w:top w:w="0" w:type="dxa"/>
              <w:bottom w:w="0" w:type="dxa"/>
            </w:tcMar>
            <w:vAlign w:val="center"/>
          </w:tcPr>
          <w:p w14:paraId="2D06ED19" w14:textId="77777777" w:rsidR="002660AA" w:rsidRDefault="009B260F">
            <w:pPr>
              <w:keepNext/>
              <w:keepLines/>
              <w:spacing w:after="0" w:line="240" w:lineRule="auto"/>
            </w:pPr>
            <w:r>
              <w:rPr>
                <w:sz w:val="18"/>
              </w:rPr>
              <w:t>Plaće za redovan rad</w:t>
            </w:r>
          </w:p>
        </w:tc>
        <w:tc>
          <w:tcPr>
            <w:tcW w:w="700" w:type="dxa"/>
            <w:tcMar>
              <w:top w:w="0" w:type="dxa"/>
              <w:bottom w:w="0" w:type="dxa"/>
            </w:tcMar>
            <w:vAlign w:val="center"/>
          </w:tcPr>
          <w:p w14:paraId="7DC2A6AE" w14:textId="77777777" w:rsidR="002660AA" w:rsidRDefault="009B260F">
            <w:pPr>
              <w:keepNext/>
              <w:keepLines/>
              <w:spacing w:after="0" w:line="240" w:lineRule="auto"/>
            </w:pPr>
            <w:r>
              <w:rPr>
                <w:sz w:val="18"/>
              </w:rPr>
              <w:t>3111</w:t>
            </w:r>
          </w:p>
        </w:tc>
        <w:tc>
          <w:tcPr>
            <w:tcW w:w="1860" w:type="dxa"/>
            <w:tcMar>
              <w:top w:w="0" w:type="dxa"/>
              <w:bottom w:w="0" w:type="dxa"/>
            </w:tcMar>
            <w:vAlign w:val="center"/>
          </w:tcPr>
          <w:p w14:paraId="2F814FCE" w14:textId="77777777" w:rsidR="002660AA" w:rsidRDefault="009B260F">
            <w:pPr>
              <w:keepNext/>
              <w:keepLines/>
              <w:spacing w:after="0" w:line="240" w:lineRule="auto"/>
              <w:jc w:val="right"/>
            </w:pPr>
            <w:r>
              <w:rPr>
                <w:sz w:val="18"/>
              </w:rPr>
              <w:t>1.723.767,17</w:t>
            </w:r>
          </w:p>
        </w:tc>
        <w:tc>
          <w:tcPr>
            <w:tcW w:w="1860" w:type="dxa"/>
            <w:tcMar>
              <w:top w:w="0" w:type="dxa"/>
              <w:bottom w:w="0" w:type="dxa"/>
            </w:tcMar>
            <w:vAlign w:val="center"/>
          </w:tcPr>
          <w:p w14:paraId="0EDF6F93" w14:textId="77777777" w:rsidR="002660AA" w:rsidRDefault="009B260F">
            <w:pPr>
              <w:keepNext/>
              <w:keepLines/>
              <w:spacing w:after="0" w:line="240" w:lineRule="auto"/>
              <w:jc w:val="right"/>
            </w:pPr>
            <w:r>
              <w:rPr>
                <w:sz w:val="18"/>
              </w:rPr>
              <w:t>2.194.528,93</w:t>
            </w:r>
          </w:p>
        </w:tc>
        <w:tc>
          <w:tcPr>
            <w:tcW w:w="700" w:type="dxa"/>
            <w:tcMar>
              <w:top w:w="0" w:type="dxa"/>
              <w:bottom w:w="0" w:type="dxa"/>
            </w:tcMar>
            <w:vAlign w:val="center"/>
          </w:tcPr>
          <w:p w14:paraId="2CC816CC" w14:textId="77777777" w:rsidR="002660AA" w:rsidRDefault="009B260F">
            <w:pPr>
              <w:keepNext/>
              <w:keepLines/>
              <w:spacing w:after="0" w:line="240" w:lineRule="auto"/>
              <w:jc w:val="right"/>
            </w:pPr>
            <w:r>
              <w:rPr>
                <w:sz w:val="18"/>
              </w:rPr>
              <w:t>127,3</w:t>
            </w:r>
          </w:p>
        </w:tc>
      </w:tr>
    </w:tbl>
    <w:p w14:paraId="33C0C886" w14:textId="77777777" w:rsidR="002660AA" w:rsidRDefault="002660AA">
      <w:pPr>
        <w:spacing w:after="0"/>
      </w:pPr>
    </w:p>
    <w:p w14:paraId="05D99121" w14:textId="77777777" w:rsidR="002660AA" w:rsidRDefault="009B260F">
      <w:r>
        <w:t>Rashodi za zaposlene uvećani su za 21,6 posto. Do povećanja je došlo radi sklapanja  dodatka IV. kolektivnom ugovoru za službenike u namještenike u upravnim tijelima Grada Koprivnice i korekcije osnovice na razini one za državne službenike i namještenike. Temeljem novog dodatka, povećane su sve stavke plaća za prekovremeni radi kao i doprinosi za plaće.</w:t>
      </w:r>
    </w:p>
    <w:p w14:paraId="06A1474E" w14:textId="77777777" w:rsidR="002660AA" w:rsidRDefault="002660AA"/>
    <w:p w14:paraId="7439242B" w14:textId="77777777" w:rsidR="002660AA" w:rsidRDefault="009B260F">
      <w:pPr>
        <w:keepNext/>
        <w:spacing w:line="240" w:lineRule="auto"/>
        <w:jc w:val="center"/>
      </w:pPr>
      <w:r>
        <w:rPr>
          <w:sz w:val="28"/>
        </w:rPr>
        <w:t>Bilješka 31.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D61497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F2D8599"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06B21B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8F928D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9A1C01E"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D53EED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7FF04A0" w14:textId="77777777" w:rsidR="002660AA" w:rsidRDefault="009B260F">
            <w:pPr>
              <w:keepNext/>
              <w:keepLines/>
              <w:spacing w:after="0" w:line="240" w:lineRule="auto"/>
              <w:jc w:val="center"/>
            </w:pPr>
            <w:r>
              <w:rPr>
                <w:b/>
                <w:sz w:val="18"/>
              </w:rPr>
              <w:t>Indeks (%)</w:t>
            </w:r>
          </w:p>
        </w:tc>
      </w:tr>
      <w:tr w:rsidR="002660AA" w14:paraId="2FD9D022" w14:textId="77777777">
        <w:tblPrEx>
          <w:tblCellMar>
            <w:top w:w="0" w:type="dxa"/>
            <w:bottom w:w="0" w:type="dxa"/>
          </w:tblCellMar>
        </w:tblPrEx>
        <w:trPr>
          <w:cantSplit/>
          <w:trHeight w:val="560"/>
        </w:trPr>
        <w:tc>
          <w:tcPr>
            <w:tcW w:w="700" w:type="dxa"/>
            <w:tcMar>
              <w:top w:w="0" w:type="dxa"/>
              <w:bottom w:w="0" w:type="dxa"/>
            </w:tcMar>
            <w:vAlign w:val="center"/>
          </w:tcPr>
          <w:p w14:paraId="384C1DD1" w14:textId="77777777" w:rsidR="002660AA" w:rsidRDefault="009B260F">
            <w:pPr>
              <w:keepNext/>
              <w:keepLines/>
              <w:spacing w:after="0" w:line="240" w:lineRule="auto"/>
            </w:pPr>
            <w:r>
              <w:rPr>
                <w:sz w:val="18"/>
              </w:rPr>
              <w:t>32</w:t>
            </w:r>
          </w:p>
        </w:tc>
        <w:tc>
          <w:tcPr>
            <w:tcW w:w="3180" w:type="dxa"/>
            <w:tcMar>
              <w:top w:w="0" w:type="dxa"/>
              <w:bottom w:w="0" w:type="dxa"/>
            </w:tcMar>
            <w:vAlign w:val="center"/>
          </w:tcPr>
          <w:p w14:paraId="5B20AE9F" w14:textId="77777777" w:rsidR="002660AA" w:rsidRDefault="009B260F">
            <w:pPr>
              <w:keepNext/>
              <w:keepLines/>
              <w:spacing w:after="0" w:line="240" w:lineRule="auto"/>
            </w:pPr>
            <w:r>
              <w:rPr>
                <w:sz w:val="18"/>
              </w:rPr>
              <w:t>Materijalni rashodi (šifre 321+322+323+324+325+329)</w:t>
            </w:r>
          </w:p>
        </w:tc>
        <w:tc>
          <w:tcPr>
            <w:tcW w:w="700" w:type="dxa"/>
            <w:tcMar>
              <w:top w:w="0" w:type="dxa"/>
              <w:bottom w:w="0" w:type="dxa"/>
            </w:tcMar>
            <w:vAlign w:val="center"/>
          </w:tcPr>
          <w:p w14:paraId="0FD7DF7C" w14:textId="77777777" w:rsidR="002660AA" w:rsidRDefault="009B260F">
            <w:pPr>
              <w:keepNext/>
              <w:keepLines/>
              <w:spacing w:after="0" w:line="240" w:lineRule="auto"/>
            </w:pPr>
            <w:r>
              <w:rPr>
                <w:sz w:val="18"/>
              </w:rPr>
              <w:t>32</w:t>
            </w:r>
          </w:p>
        </w:tc>
        <w:tc>
          <w:tcPr>
            <w:tcW w:w="1860" w:type="dxa"/>
            <w:tcMar>
              <w:top w:w="0" w:type="dxa"/>
              <w:bottom w:w="0" w:type="dxa"/>
            </w:tcMar>
            <w:vAlign w:val="center"/>
          </w:tcPr>
          <w:p w14:paraId="67A543BA" w14:textId="77777777" w:rsidR="002660AA" w:rsidRDefault="009B260F">
            <w:pPr>
              <w:keepNext/>
              <w:keepLines/>
              <w:spacing w:after="0" w:line="240" w:lineRule="auto"/>
              <w:jc w:val="right"/>
            </w:pPr>
            <w:r>
              <w:rPr>
                <w:sz w:val="18"/>
              </w:rPr>
              <w:t>7.944.831,07</w:t>
            </w:r>
          </w:p>
        </w:tc>
        <w:tc>
          <w:tcPr>
            <w:tcW w:w="1860" w:type="dxa"/>
            <w:tcMar>
              <w:top w:w="0" w:type="dxa"/>
              <w:bottom w:w="0" w:type="dxa"/>
            </w:tcMar>
            <w:vAlign w:val="center"/>
          </w:tcPr>
          <w:p w14:paraId="4A2432CD" w14:textId="77777777" w:rsidR="002660AA" w:rsidRDefault="009B260F">
            <w:pPr>
              <w:keepNext/>
              <w:keepLines/>
              <w:spacing w:after="0" w:line="240" w:lineRule="auto"/>
              <w:jc w:val="right"/>
            </w:pPr>
            <w:r>
              <w:rPr>
                <w:sz w:val="18"/>
              </w:rPr>
              <w:t>10.940.083,84</w:t>
            </w:r>
          </w:p>
        </w:tc>
        <w:tc>
          <w:tcPr>
            <w:tcW w:w="700" w:type="dxa"/>
            <w:tcMar>
              <w:top w:w="0" w:type="dxa"/>
              <w:bottom w:w="0" w:type="dxa"/>
            </w:tcMar>
            <w:vAlign w:val="center"/>
          </w:tcPr>
          <w:p w14:paraId="69BDC274" w14:textId="77777777" w:rsidR="002660AA" w:rsidRDefault="009B260F">
            <w:pPr>
              <w:keepNext/>
              <w:keepLines/>
              <w:spacing w:after="0" w:line="240" w:lineRule="auto"/>
              <w:jc w:val="right"/>
            </w:pPr>
            <w:r>
              <w:rPr>
                <w:sz w:val="18"/>
              </w:rPr>
              <w:t>137,7</w:t>
            </w:r>
          </w:p>
        </w:tc>
      </w:tr>
    </w:tbl>
    <w:p w14:paraId="521262B8" w14:textId="77777777" w:rsidR="002660AA" w:rsidRDefault="002660AA">
      <w:pPr>
        <w:spacing w:after="0"/>
      </w:pPr>
    </w:p>
    <w:p w14:paraId="266219CB" w14:textId="77777777" w:rsidR="002660AA" w:rsidRDefault="009B260F">
      <w:r>
        <w:t>Materijalni rashodi bilježi realizaciju od 10.940.083,84 EUR  što predstavlja povećanje od značajnih 37,7  posto u odnosu na realizaciju iz 2024. godine.</w:t>
      </w:r>
    </w:p>
    <w:p w14:paraId="1C843845" w14:textId="77777777" w:rsidR="002660AA" w:rsidRDefault="002660AA"/>
    <w:p w14:paraId="176F7966" w14:textId="77777777" w:rsidR="002660AA" w:rsidRDefault="009B260F">
      <w:pPr>
        <w:keepNext/>
        <w:spacing w:line="240" w:lineRule="auto"/>
        <w:jc w:val="center"/>
      </w:pPr>
      <w:r>
        <w:rPr>
          <w:sz w:val="28"/>
        </w:rPr>
        <w:t>Bilješka 32.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BA92D5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A90F8B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6A2B3A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AD34E2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76A46B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327FA2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FB486EF" w14:textId="77777777" w:rsidR="002660AA" w:rsidRDefault="009B260F">
            <w:pPr>
              <w:keepNext/>
              <w:keepLines/>
              <w:spacing w:after="0" w:line="240" w:lineRule="auto"/>
              <w:jc w:val="center"/>
            </w:pPr>
            <w:r>
              <w:rPr>
                <w:b/>
                <w:sz w:val="18"/>
              </w:rPr>
              <w:t>Indeks (%)</w:t>
            </w:r>
          </w:p>
        </w:tc>
      </w:tr>
      <w:tr w:rsidR="002660AA" w14:paraId="76CC7BCB" w14:textId="77777777">
        <w:tblPrEx>
          <w:tblCellMar>
            <w:top w:w="0" w:type="dxa"/>
            <w:bottom w:w="0" w:type="dxa"/>
          </w:tblCellMar>
        </w:tblPrEx>
        <w:trPr>
          <w:cantSplit/>
          <w:trHeight w:val="560"/>
        </w:trPr>
        <w:tc>
          <w:tcPr>
            <w:tcW w:w="700" w:type="dxa"/>
            <w:tcMar>
              <w:top w:w="0" w:type="dxa"/>
              <w:bottom w:w="0" w:type="dxa"/>
            </w:tcMar>
            <w:vAlign w:val="center"/>
          </w:tcPr>
          <w:p w14:paraId="443DCE2E" w14:textId="77777777" w:rsidR="002660AA" w:rsidRDefault="009B260F">
            <w:pPr>
              <w:keepNext/>
              <w:keepLines/>
              <w:spacing w:after="0" w:line="240" w:lineRule="auto"/>
            </w:pPr>
            <w:r>
              <w:rPr>
                <w:sz w:val="18"/>
              </w:rPr>
              <w:t>3211</w:t>
            </w:r>
          </w:p>
        </w:tc>
        <w:tc>
          <w:tcPr>
            <w:tcW w:w="3180" w:type="dxa"/>
            <w:tcMar>
              <w:top w:w="0" w:type="dxa"/>
              <w:bottom w:w="0" w:type="dxa"/>
            </w:tcMar>
            <w:vAlign w:val="center"/>
          </w:tcPr>
          <w:p w14:paraId="121B978D" w14:textId="77777777" w:rsidR="002660AA" w:rsidRDefault="009B260F">
            <w:pPr>
              <w:keepNext/>
              <w:keepLines/>
              <w:spacing w:after="0" w:line="240" w:lineRule="auto"/>
            </w:pPr>
            <w:r>
              <w:rPr>
                <w:sz w:val="18"/>
              </w:rPr>
              <w:t>Službena putovanja</w:t>
            </w:r>
          </w:p>
        </w:tc>
        <w:tc>
          <w:tcPr>
            <w:tcW w:w="700" w:type="dxa"/>
            <w:tcMar>
              <w:top w:w="0" w:type="dxa"/>
              <w:bottom w:w="0" w:type="dxa"/>
            </w:tcMar>
            <w:vAlign w:val="center"/>
          </w:tcPr>
          <w:p w14:paraId="4791B1B9" w14:textId="77777777" w:rsidR="002660AA" w:rsidRDefault="009B260F">
            <w:pPr>
              <w:keepNext/>
              <w:keepLines/>
              <w:spacing w:after="0" w:line="240" w:lineRule="auto"/>
            </w:pPr>
            <w:r>
              <w:rPr>
                <w:sz w:val="18"/>
              </w:rPr>
              <w:t>3211</w:t>
            </w:r>
          </w:p>
        </w:tc>
        <w:tc>
          <w:tcPr>
            <w:tcW w:w="1860" w:type="dxa"/>
            <w:tcMar>
              <w:top w:w="0" w:type="dxa"/>
              <w:bottom w:w="0" w:type="dxa"/>
            </w:tcMar>
            <w:vAlign w:val="center"/>
          </w:tcPr>
          <w:p w14:paraId="3B5BD435" w14:textId="77777777" w:rsidR="002660AA" w:rsidRDefault="009B260F">
            <w:pPr>
              <w:keepNext/>
              <w:keepLines/>
              <w:spacing w:after="0" w:line="240" w:lineRule="auto"/>
              <w:jc w:val="right"/>
            </w:pPr>
            <w:r>
              <w:rPr>
                <w:sz w:val="18"/>
              </w:rPr>
              <w:t>7.419,25</w:t>
            </w:r>
          </w:p>
        </w:tc>
        <w:tc>
          <w:tcPr>
            <w:tcW w:w="1860" w:type="dxa"/>
            <w:tcMar>
              <w:top w:w="0" w:type="dxa"/>
              <w:bottom w:w="0" w:type="dxa"/>
            </w:tcMar>
            <w:vAlign w:val="center"/>
          </w:tcPr>
          <w:p w14:paraId="4CE8D277" w14:textId="77777777" w:rsidR="002660AA" w:rsidRDefault="009B260F">
            <w:pPr>
              <w:keepNext/>
              <w:keepLines/>
              <w:spacing w:after="0" w:line="240" w:lineRule="auto"/>
              <w:jc w:val="right"/>
            </w:pPr>
            <w:r>
              <w:rPr>
                <w:sz w:val="18"/>
              </w:rPr>
              <w:t>16.410,30</w:t>
            </w:r>
          </w:p>
        </w:tc>
        <w:tc>
          <w:tcPr>
            <w:tcW w:w="700" w:type="dxa"/>
            <w:tcMar>
              <w:top w:w="0" w:type="dxa"/>
              <w:bottom w:w="0" w:type="dxa"/>
            </w:tcMar>
            <w:vAlign w:val="center"/>
          </w:tcPr>
          <w:p w14:paraId="1ADEF793" w14:textId="77777777" w:rsidR="002660AA" w:rsidRDefault="009B260F">
            <w:pPr>
              <w:keepNext/>
              <w:keepLines/>
              <w:spacing w:after="0" w:line="240" w:lineRule="auto"/>
              <w:jc w:val="right"/>
            </w:pPr>
            <w:r>
              <w:rPr>
                <w:sz w:val="18"/>
              </w:rPr>
              <w:t>221,2</w:t>
            </w:r>
          </w:p>
        </w:tc>
      </w:tr>
    </w:tbl>
    <w:p w14:paraId="1DB62032" w14:textId="77777777" w:rsidR="002660AA" w:rsidRDefault="002660AA">
      <w:pPr>
        <w:spacing w:after="0"/>
      </w:pPr>
    </w:p>
    <w:p w14:paraId="6EFDE4F8" w14:textId="77777777" w:rsidR="002660AA" w:rsidRDefault="009B260F">
      <w:r>
        <w:t>U sklopu Eu projekta CCSI4CCSI realiziran je trošak od 7.746,00 EUR što je dovelo do većeg troška stavk službenih putovanja.</w:t>
      </w:r>
    </w:p>
    <w:p w14:paraId="1D45F0E3" w14:textId="77777777" w:rsidR="002660AA" w:rsidRDefault="002660AA"/>
    <w:p w14:paraId="1F36F26F" w14:textId="77777777" w:rsidR="002660AA" w:rsidRDefault="009B260F">
      <w:pPr>
        <w:keepNext/>
        <w:spacing w:line="240" w:lineRule="auto"/>
        <w:jc w:val="center"/>
      </w:pPr>
      <w:r>
        <w:rPr>
          <w:sz w:val="28"/>
        </w:rPr>
        <w:t>Bilješka 33.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917246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9FF481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17E7EC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D2E7B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20F691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4404206"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0319468" w14:textId="77777777" w:rsidR="002660AA" w:rsidRDefault="009B260F">
            <w:pPr>
              <w:keepNext/>
              <w:keepLines/>
              <w:spacing w:after="0" w:line="240" w:lineRule="auto"/>
              <w:jc w:val="center"/>
            </w:pPr>
            <w:r>
              <w:rPr>
                <w:b/>
                <w:sz w:val="18"/>
              </w:rPr>
              <w:t>Indeks (%)</w:t>
            </w:r>
          </w:p>
        </w:tc>
      </w:tr>
      <w:tr w:rsidR="002660AA" w14:paraId="7B3D9DF6" w14:textId="77777777">
        <w:tblPrEx>
          <w:tblCellMar>
            <w:top w:w="0" w:type="dxa"/>
            <w:bottom w:w="0" w:type="dxa"/>
          </w:tblCellMar>
        </w:tblPrEx>
        <w:trPr>
          <w:cantSplit/>
          <w:trHeight w:val="560"/>
        </w:trPr>
        <w:tc>
          <w:tcPr>
            <w:tcW w:w="700" w:type="dxa"/>
            <w:tcMar>
              <w:top w:w="0" w:type="dxa"/>
              <w:bottom w:w="0" w:type="dxa"/>
            </w:tcMar>
            <w:vAlign w:val="center"/>
          </w:tcPr>
          <w:p w14:paraId="07DCA6B1" w14:textId="77777777" w:rsidR="002660AA" w:rsidRDefault="009B260F">
            <w:pPr>
              <w:keepNext/>
              <w:keepLines/>
              <w:spacing w:after="0" w:line="240" w:lineRule="auto"/>
            </w:pPr>
            <w:r>
              <w:rPr>
                <w:sz w:val="18"/>
              </w:rPr>
              <w:t>3213</w:t>
            </w:r>
          </w:p>
        </w:tc>
        <w:tc>
          <w:tcPr>
            <w:tcW w:w="3180" w:type="dxa"/>
            <w:tcMar>
              <w:top w:w="0" w:type="dxa"/>
              <w:bottom w:w="0" w:type="dxa"/>
            </w:tcMar>
            <w:vAlign w:val="center"/>
          </w:tcPr>
          <w:p w14:paraId="36F37FFC" w14:textId="77777777" w:rsidR="002660AA" w:rsidRDefault="009B260F">
            <w:pPr>
              <w:keepNext/>
              <w:keepLines/>
              <w:spacing w:after="0" w:line="240" w:lineRule="auto"/>
            </w:pPr>
            <w:r>
              <w:rPr>
                <w:sz w:val="18"/>
              </w:rPr>
              <w:t>Stručno usavršavanje zaposlenika</w:t>
            </w:r>
          </w:p>
        </w:tc>
        <w:tc>
          <w:tcPr>
            <w:tcW w:w="700" w:type="dxa"/>
            <w:tcMar>
              <w:top w:w="0" w:type="dxa"/>
              <w:bottom w:w="0" w:type="dxa"/>
            </w:tcMar>
            <w:vAlign w:val="center"/>
          </w:tcPr>
          <w:p w14:paraId="3681BC6A" w14:textId="77777777" w:rsidR="002660AA" w:rsidRDefault="009B260F">
            <w:pPr>
              <w:keepNext/>
              <w:keepLines/>
              <w:spacing w:after="0" w:line="240" w:lineRule="auto"/>
            </w:pPr>
            <w:r>
              <w:rPr>
                <w:sz w:val="18"/>
              </w:rPr>
              <w:t>3213</w:t>
            </w:r>
          </w:p>
        </w:tc>
        <w:tc>
          <w:tcPr>
            <w:tcW w:w="1860" w:type="dxa"/>
            <w:tcMar>
              <w:top w:w="0" w:type="dxa"/>
              <w:bottom w:w="0" w:type="dxa"/>
            </w:tcMar>
            <w:vAlign w:val="center"/>
          </w:tcPr>
          <w:p w14:paraId="2A260E7E" w14:textId="77777777" w:rsidR="002660AA" w:rsidRDefault="009B260F">
            <w:pPr>
              <w:keepNext/>
              <w:keepLines/>
              <w:spacing w:after="0" w:line="240" w:lineRule="auto"/>
              <w:jc w:val="right"/>
            </w:pPr>
            <w:r>
              <w:rPr>
                <w:sz w:val="18"/>
              </w:rPr>
              <w:t>5.105,81</w:t>
            </w:r>
          </w:p>
        </w:tc>
        <w:tc>
          <w:tcPr>
            <w:tcW w:w="1860" w:type="dxa"/>
            <w:tcMar>
              <w:top w:w="0" w:type="dxa"/>
              <w:bottom w:w="0" w:type="dxa"/>
            </w:tcMar>
            <w:vAlign w:val="center"/>
          </w:tcPr>
          <w:p w14:paraId="1106C567" w14:textId="77777777" w:rsidR="002660AA" w:rsidRDefault="009B260F">
            <w:pPr>
              <w:keepNext/>
              <w:keepLines/>
              <w:spacing w:after="0" w:line="240" w:lineRule="auto"/>
              <w:jc w:val="right"/>
            </w:pPr>
            <w:r>
              <w:rPr>
                <w:sz w:val="18"/>
              </w:rPr>
              <w:t>7.950,70</w:t>
            </w:r>
          </w:p>
        </w:tc>
        <w:tc>
          <w:tcPr>
            <w:tcW w:w="700" w:type="dxa"/>
            <w:tcMar>
              <w:top w:w="0" w:type="dxa"/>
              <w:bottom w:w="0" w:type="dxa"/>
            </w:tcMar>
            <w:vAlign w:val="center"/>
          </w:tcPr>
          <w:p w14:paraId="4BCFBAC9" w14:textId="77777777" w:rsidR="002660AA" w:rsidRDefault="009B260F">
            <w:pPr>
              <w:keepNext/>
              <w:keepLines/>
              <w:spacing w:after="0" w:line="240" w:lineRule="auto"/>
              <w:jc w:val="right"/>
            </w:pPr>
            <w:r>
              <w:rPr>
                <w:sz w:val="18"/>
              </w:rPr>
              <w:t>155,7</w:t>
            </w:r>
          </w:p>
        </w:tc>
      </w:tr>
    </w:tbl>
    <w:p w14:paraId="05E1EA9F" w14:textId="77777777" w:rsidR="002660AA" w:rsidRDefault="002660AA">
      <w:pPr>
        <w:spacing w:after="0"/>
      </w:pPr>
    </w:p>
    <w:p w14:paraId="46F279CD" w14:textId="77777777" w:rsidR="002660AA" w:rsidRDefault="009B260F">
      <w:r>
        <w:t>Bilježi se porast stručnog usavršavanja unutar UO za prostorno uređenje organizioranog od strane Hrvatske komore inžerenja  građevinarstva d.o.o. a i povećanih odlazaka na stručne skupove zaposlenika.</w:t>
      </w:r>
    </w:p>
    <w:p w14:paraId="5F379579" w14:textId="77777777" w:rsidR="002660AA" w:rsidRDefault="002660AA"/>
    <w:p w14:paraId="726E214A" w14:textId="77777777" w:rsidR="002660AA" w:rsidRDefault="009B260F">
      <w:pPr>
        <w:keepNext/>
        <w:spacing w:line="240" w:lineRule="auto"/>
        <w:jc w:val="center"/>
      </w:pPr>
      <w:r>
        <w:rPr>
          <w:sz w:val="28"/>
        </w:rPr>
        <w:t>Bilješka 34.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2548B5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600080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A4096A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ADFB77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8F332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7AABCA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C14502C" w14:textId="77777777" w:rsidR="002660AA" w:rsidRDefault="009B260F">
            <w:pPr>
              <w:keepNext/>
              <w:keepLines/>
              <w:spacing w:after="0" w:line="240" w:lineRule="auto"/>
              <w:jc w:val="center"/>
            </w:pPr>
            <w:r>
              <w:rPr>
                <w:b/>
                <w:sz w:val="18"/>
              </w:rPr>
              <w:t>Indeks (%)</w:t>
            </w:r>
          </w:p>
        </w:tc>
      </w:tr>
      <w:tr w:rsidR="002660AA" w14:paraId="089BFCDC" w14:textId="77777777">
        <w:tblPrEx>
          <w:tblCellMar>
            <w:top w:w="0" w:type="dxa"/>
            <w:bottom w:w="0" w:type="dxa"/>
          </w:tblCellMar>
        </w:tblPrEx>
        <w:trPr>
          <w:cantSplit/>
          <w:trHeight w:val="560"/>
        </w:trPr>
        <w:tc>
          <w:tcPr>
            <w:tcW w:w="700" w:type="dxa"/>
            <w:tcMar>
              <w:top w:w="0" w:type="dxa"/>
              <w:bottom w:w="0" w:type="dxa"/>
            </w:tcMar>
            <w:vAlign w:val="center"/>
          </w:tcPr>
          <w:p w14:paraId="30725CE7" w14:textId="77777777" w:rsidR="002660AA" w:rsidRDefault="009B260F">
            <w:pPr>
              <w:keepNext/>
              <w:keepLines/>
              <w:spacing w:after="0" w:line="240" w:lineRule="auto"/>
            </w:pPr>
            <w:r>
              <w:rPr>
                <w:sz w:val="18"/>
              </w:rPr>
              <w:t>3221</w:t>
            </w:r>
          </w:p>
        </w:tc>
        <w:tc>
          <w:tcPr>
            <w:tcW w:w="3180" w:type="dxa"/>
            <w:tcMar>
              <w:top w:w="0" w:type="dxa"/>
              <w:bottom w:w="0" w:type="dxa"/>
            </w:tcMar>
            <w:vAlign w:val="center"/>
          </w:tcPr>
          <w:p w14:paraId="2E62CABB" w14:textId="77777777" w:rsidR="002660AA" w:rsidRDefault="009B260F">
            <w:pPr>
              <w:keepNext/>
              <w:keepLines/>
              <w:spacing w:after="0" w:line="240" w:lineRule="auto"/>
            </w:pPr>
            <w:r>
              <w:rPr>
                <w:sz w:val="18"/>
              </w:rPr>
              <w:t>Uredski materijal i ostali materijalni rashodi</w:t>
            </w:r>
          </w:p>
        </w:tc>
        <w:tc>
          <w:tcPr>
            <w:tcW w:w="700" w:type="dxa"/>
            <w:tcMar>
              <w:top w:w="0" w:type="dxa"/>
              <w:bottom w:w="0" w:type="dxa"/>
            </w:tcMar>
            <w:vAlign w:val="center"/>
          </w:tcPr>
          <w:p w14:paraId="1F084658" w14:textId="77777777" w:rsidR="002660AA" w:rsidRDefault="009B260F">
            <w:pPr>
              <w:keepNext/>
              <w:keepLines/>
              <w:spacing w:after="0" w:line="240" w:lineRule="auto"/>
            </w:pPr>
            <w:r>
              <w:rPr>
                <w:sz w:val="18"/>
              </w:rPr>
              <w:t>3221</w:t>
            </w:r>
          </w:p>
        </w:tc>
        <w:tc>
          <w:tcPr>
            <w:tcW w:w="1860" w:type="dxa"/>
            <w:tcMar>
              <w:top w:w="0" w:type="dxa"/>
              <w:bottom w:w="0" w:type="dxa"/>
            </w:tcMar>
            <w:vAlign w:val="center"/>
          </w:tcPr>
          <w:p w14:paraId="1B7F72B7" w14:textId="77777777" w:rsidR="002660AA" w:rsidRDefault="009B260F">
            <w:pPr>
              <w:keepNext/>
              <w:keepLines/>
              <w:spacing w:after="0" w:line="240" w:lineRule="auto"/>
              <w:jc w:val="right"/>
            </w:pPr>
            <w:r>
              <w:rPr>
                <w:sz w:val="18"/>
              </w:rPr>
              <w:t>65.983,73</w:t>
            </w:r>
          </w:p>
        </w:tc>
        <w:tc>
          <w:tcPr>
            <w:tcW w:w="1860" w:type="dxa"/>
            <w:tcMar>
              <w:top w:w="0" w:type="dxa"/>
              <w:bottom w:w="0" w:type="dxa"/>
            </w:tcMar>
            <w:vAlign w:val="center"/>
          </w:tcPr>
          <w:p w14:paraId="03609AAB" w14:textId="77777777" w:rsidR="002660AA" w:rsidRDefault="009B260F">
            <w:pPr>
              <w:keepNext/>
              <w:keepLines/>
              <w:spacing w:after="0" w:line="240" w:lineRule="auto"/>
              <w:jc w:val="right"/>
            </w:pPr>
            <w:r>
              <w:rPr>
                <w:sz w:val="18"/>
              </w:rPr>
              <w:t>37.360,15</w:t>
            </w:r>
          </w:p>
        </w:tc>
        <w:tc>
          <w:tcPr>
            <w:tcW w:w="700" w:type="dxa"/>
            <w:tcMar>
              <w:top w:w="0" w:type="dxa"/>
              <w:bottom w:w="0" w:type="dxa"/>
            </w:tcMar>
            <w:vAlign w:val="center"/>
          </w:tcPr>
          <w:p w14:paraId="2C1A50D6" w14:textId="77777777" w:rsidR="002660AA" w:rsidRDefault="009B260F">
            <w:pPr>
              <w:keepNext/>
              <w:keepLines/>
              <w:spacing w:after="0" w:line="240" w:lineRule="auto"/>
              <w:jc w:val="right"/>
            </w:pPr>
            <w:r>
              <w:rPr>
                <w:sz w:val="18"/>
              </w:rPr>
              <w:t>56,6</w:t>
            </w:r>
          </w:p>
        </w:tc>
      </w:tr>
    </w:tbl>
    <w:p w14:paraId="6340329A" w14:textId="77777777" w:rsidR="002660AA" w:rsidRDefault="002660AA">
      <w:pPr>
        <w:spacing w:after="0"/>
      </w:pPr>
    </w:p>
    <w:p w14:paraId="30E21E01" w14:textId="77777777" w:rsidR="002660AA" w:rsidRDefault="009B260F">
      <w:r>
        <w:t>Realizacije je manja jer su se tijekom 2024. godine provele nabave uredskog materijala u skopu projekta cjelodnevne škole u OŠ Podolice kojeg je provodio Grad, a financiralo Ministarstvo znanosti, obrazoanja i mladih.</w:t>
      </w:r>
    </w:p>
    <w:p w14:paraId="6DA5E0F4" w14:textId="77777777" w:rsidR="002660AA" w:rsidRDefault="002660AA"/>
    <w:p w14:paraId="0FB3F39E" w14:textId="77777777" w:rsidR="002660AA" w:rsidRDefault="009B260F">
      <w:pPr>
        <w:keepNext/>
        <w:spacing w:line="240" w:lineRule="auto"/>
        <w:jc w:val="center"/>
      </w:pPr>
      <w:r>
        <w:rPr>
          <w:sz w:val="28"/>
        </w:rPr>
        <w:t>Bilješka 35.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849954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595BB5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C416C6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4E9475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461F7B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D68388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24CD30D" w14:textId="77777777" w:rsidR="002660AA" w:rsidRDefault="009B260F">
            <w:pPr>
              <w:keepNext/>
              <w:keepLines/>
              <w:spacing w:after="0" w:line="240" w:lineRule="auto"/>
              <w:jc w:val="center"/>
            </w:pPr>
            <w:r>
              <w:rPr>
                <w:b/>
                <w:sz w:val="18"/>
              </w:rPr>
              <w:t>Indeks (%)</w:t>
            </w:r>
          </w:p>
        </w:tc>
      </w:tr>
      <w:tr w:rsidR="002660AA" w14:paraId="7A8F1FF8" w14:textId="77777777">
        <w:tblPrEx>
          <w:tblCellMar>
            <w:top w:w="0" w:type="dxa"/>
            <w:bottom w:w="0" w:type="dxa"/>
          </w:tblCellMar>
        </w:tblPrEx>
        <w:trPr>
          <w:cantSplit/>
          <w:trHeight w:val="560"/>
        </w:trPr>
        <w:tc>
          <w:tcPr>
            <w:tcW w:w="700" w:type="dxa"/>
            <w:tcMar>
              <w:top w:w="0" w:type="dxa"/>
              <w:bottom w:w="0" w:type="dxa"/>
            </w:tcMar>
            <w:vAlign w:val="center"/>
          </w:tcPr>
          <w:p w14:paraId="09F0B2DE" w14:textId="77777777" w:rsidR="002660AA" w:rsidRDefault="009B260F">
            <w:pPr>
              <w:keepNext/>
              <w:keepLines/>
              <w:spacing w:after="0" w:line="240" w:lineRule="auto"/>
            </w:pPr>
            <w:r>
              <w:rPr>
                <w:sz w:val="18"/>
              </w:rPr>
              <w:t>3223</w:t>
            </w:r>
          </w:p>
        </w:tc>
        <w:tc>
          <w:tcPr>
            <w:tcW w:w="3180" w:type="dxa"/>
            <w:tcMar>
              <w:top w:w="0" w:type="dxa"/>
              <w:bottom w:w="0" w:type="dxa"/>
            </w:tcMar>
            <w:vAlign w:val="center"/>
          </w:tcPr>
          <w:p w14:paraId="720A9B9A" w14:textId="77777777" w:rsidR="002660AA" w:rsidRDefault="009B260F">
            <w:pPr>
              <w:keepNext/>
              <w:keepLines/>
              <w:spacing w:after="0" w:line="240" w:lineRule="auto"/>
            </w:pPr>
            <w:r>
              <w:rPr>
                <w:sz w:val="18"/>
              </w:rPr>
              <w:t>Energija</w:t>
            </w:r>
          </w:p>
        </w:tc>
        <w:tc>
          <w:tcPr>
            <w:tcW w:w="700" w:type="dxa"/>
            <w:tcMar>
              <w:top w:w="0" w:type="dxa"/>
              <w:bottom w:w="0" w:type="dxa"/>
            </w:tcMar>
            <w:vAlign w:val="center"/>
          </w:tcPr>
          <w:p w14:paraId="1C00628D" w14:textId="77777777" w:rsidR="002660AA" w:rsidRDefault="009B260F">
            <w:pPr>
              <w:keepNext/>
              <w:keepLines/>
              <w:spacing w:after="0" w:line="240" w:lineRule="auto"/>
            </w:pPr>
            <w:r>
              <w:rPr>
                <w:sz w:val="18"/>
              </w:rPr>
              <w:t>3223</w:t>
            </w:r>
          </w:p>
        </w:tc>
        <w:tc>
          <w:tcPr>
            <w:tcW w:w="1860" w:type="dxa"/>
            <w:tcMar>
              <w:top w:w="0" w:type="dxa"/>
              <w:bottom w:w="0" w:type="dxa"/>
            </w:tcMar>
            <w:vAlign w:val="center"/>
          </w:tcPr>
          <w:p w14:paraId="55D17B96" w14:textId="77777777" w:rsidR="002660AA" w:rsidRDefault="009B260F">
            <w:pPr>
              <w:keepNext/>
              <w:keepLines/>
              <w:spacing w:after="0" w:line="240" w:lineRule="auto"/>
              <w:jc w:val="right"/>
            </w:pPr>
            <w:r>
              <w:rPr>
                <w:sz w:val="18"/>
              </w:rPr>
              <w:t>288.769,89</w:t>
            </w:r>
          </w:p>
        </w:tc>
        <w:tc>
          <w:tcPr>
            <w:tcW w:w="1860" w:type="dxa"/>
            <w:tcMar>
              <w:top w:w="0" w:type="dxa"/>
              <w:bottom w:w="0" w:type="dxa"/>
            </w:tcMar>
            <w:vAlign w:val="center"/>
          </w:tcPr>
          <w:p w14:paraId="607F0474" w14:textId="77777777" w:rsidR="002660AA" w:rsidRDefault="009B260F">
            <w:pPr>
              <w:keepNext/>
              <w:keepLines/>
              <w:spacing w:after="0" w:line="240" w:lineRule="auto"/>
              <w:jc w:val="right"/>
            </w:pPr>
            <w:r>
              <w:rPr>
                <w:sz w:val="18"/>
              </w:rPr>
              <w:t>307.284,27</w:t>
            </w:r>
          </w:p>
        </w:tc>
        <w:tc>
          <w:tcPr>
            <w:tcW w:w="700" w:type="dxa"/>
            <w:tcMar>
              <w:top w:w="0" w:type="dxa"/>
              <w:bottom w:w="0" w:type="dxa"/>
            </w:tcMar>
            <w:vAlign w:val="center"/>
          </w:tcPr>
          <w:p w14:paraId="03DAC39D" w14:textId="77777777" w:rsidR="002660AA" w:rsidRDefault="009B260F">
            <w:pPr>
              <w:keepNext/>
              <w:keepLines/>
              <w:spacing w:after="0" w:line="240" w:lineRule="auto"/>
              <w:jc w:val="right"/>
            </w:pPr>
            <w:r>
              <w:rPr>
                <w:sz w:val="18"/>
              </w:rPr>
              <w:t>106,4</w:t>
            </w:r>
          </w:p>
        </w:tc>
      </w:tr>
    </w:tbl>
    <w:p w14:paraId="5FCA674D" w14:textId="77777777" w:rsidR="002660AA" w:rsidRDefault="002660AA">
      <w:pPr>
        <w:spacing w:after="0"/>
      </w:pPr>
    </w:p>
    <w:p w14:paraId="72E9D8B3" w14:textId="77777777" w:rsidR="002660AA" w:rsidRDefault="009B260F">
      <w:r>
        <w:t>Bilježi se nešto veći rast radi poskupljenja električne energije (trošak mrežarine) krajem 2025. godine.</w:t>
      </w:r>
    </w:p>
    <w:p w14:paraId="102B422B" w14:textId="77777777" w:rsidR="002660AA" w:rsidRDefault="002660AA"/>
    <w:p w14:paraId="669617E7" w14:textId="77777777" w:rsidR="002660AA" w:rsidRDefault="009B260F">
      <w:pPr>
        <w:keepNext/>
        <w:spacing w:line="240" w:lineRule="auto"/>
        <w:jc w:val="center"/>
      </w:pPr>
      <w:r>
        <w:rPr>
          <w:sz w:val="28"/>
        </w:rPr>
        <w:t>Bilješka 36.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F7898E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71FE02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CE7B70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0644BA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2B5FDB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AD20421"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5F552DD" w14:textId="77777777" w:rsidR="002660AA" w:rsidRDefault="009B260F">
            <w:pPr>
              <w:keepNext/>
              <w:keepLines/>
              <w:spacing w:after="0" w:line="240" w:lineRule="auto"/>
              <w:jc w:val="center"/>
            </w:pPr>
            <w:r>
              <w:rPr>
                <w:b/>
                <w:sz w:val="18"/>
              </w:rPr>
              <w:t>Indeks (%)</w:t>
            </w:r>
          </w:p>
        </w:tc>
      </w:tr>
      <w:tr w:rsidR="002660AA" w14:paraId="7F127652" w14:textId="77777777">
        <w:tblPrEx>
          <w:tblCellMar>
            <w:top w:w="0" w:type="dxa"/>
            <w:bottom w:w="0" w:type="dxa"/>
          </w:tblCellMar>
        </w:tblPrEx>
        <w:trPr>
          <w:cantSplit/>
          <w:trHeight w:val="560"/>
        </w:trPr>
        <w:tc>
          <w:tcPr>
            <w:tcW w:w="700" w:type="dxa"/>
            <w:tcMar>
              <w:top w:w="0" w:type="dxa"/>
              <w:bottom w:w="0" w:type="dxa"/>
            </w:tcMar>
            <w:vAlign w:val="center"/>
          </w:tcPr>
          <w:p w14:paraId="508F1E6D" w14:textId="77777777" w:rsidR="002660AA" w:rsidRDefault="009B260F">
            <w:pPr>
              <w:keepNext/>
              <w:keepLines/>
              <w:spacing w:after="0" w:line="240" w:lineRule="auto"/>
            </w:pPr>
            <w:r>
              <w:rPr>
                <w:sz w:val="18"/>
              </w:rPr>
              <w:t>3224</w:t>
            </w:r>
          </w:p>
        </w:tc>
        <w:tc>
          <w:tcPr>
            <w:tcW w:w="3180" w:type="dxa"/>
            <w:tcMar>
              <w:top w:w="0" w:type="dxa"/>
              <w:bottom w:w="0" w:type="dxa"/>
            </w:tcMar>
            <w:vAlign w:val="center"/>
          </w:tcPr>
          <w:p w14:paraId="1D8F1823" w14:textId="77777777" w:rsidR="002660AA" w:rsidRDefault="009B260F">
            <w:pPr>
              <w:keepNext/>
              <w:keepLines/>
              <w:spacing w:after="0" w:line="240" w:lineRule="auto"/>
            </w:pPr>
            <w:r>
              <w:rPr>
                <w:sz w:val="18"/>
              </w:rPr>
              <w:t>Materijal i dijelovi za tekuće i investicijsko održavanje</w:t>
            </w:r>
          </w:p>
        </w:tc>
        <w:tc>
          <w:tcPr>
            <w:tcW w:w="700" w:type="dxa"/>
            <w:tcMar>
              <w:top w:w="0" w:type="dxa"/>
              <w:bottom w:w="0" w:type="dxa"/>
            </w:tcMar>
            <w:vAlign w:val="center"/>
          </w:tcPr>
          <w:p w14:paraId="159DB6B5" w14:textId="77777777" w:rsidR="002660AA" w:rsidRDefault="009B260F">
            <w:pPr>
              <w:keepNext/>
              <w:keepLines/>
              <w:spacing w:after="0" w:line="240" w:lineRule="auto"/>
            </w:pPr>
            <w:r>
              <w:rPr>
                <w:sz w:val="18"/>
              </w:rPr>
              <w:t>3224</w:t>
            </w:r>
          </w:p>
        </w:tc>
        <w:tc>
          <w:tcPr>
            <w:tcW w:w="1860" w:type="dxa"/>
            <w:tcMar>
              <w:top w:w="0" w:type="dxa"/>
              <w:bottom w:w="0" w:type="dxa"/>
            </w:tcMar>
            <w:vAlign w:val="center"/>
          </w:tcPr>
          <w:p w14:paraId="5E76F5E0" w14:textId="77777777" w:rsidR="002660AA" w:rsidRDefault="009B260F">
            <w:pPr>
              <w:keepNext/>
              <w:keepLines/>
              <w:spacing w:after="0" w:line="240" w:lineRule="auto"/>
              <w:jc w:val="right"/>
            </w:pPr>
            <w:r>
              <w:rPr>
                <w:sz w:val="18"/>
              </w:rPr>
              <w:t>12.350,37</w:t>
            </w:r>
          </w:p>
        </w:tc>
        <w:tc>
          <w:tcPr>
            <w:tcW w:w="1860" w:type="dxa"/>
            <w:tcMar>
              <w:top w:w="0" w:type="dxa"/>
              <w:bottom w:w="0" w:type="dxa"/>
            </w:tcMar>
            <w:vAlign w:val="center"/>
          </w:tcPr>
          <w:p w14:paraId="14C36E17" w14:textId="77777777" w:rsidR="002660AA" w:rsidRDefault="009B260F">
            <w:pPr>
              <w:keepNext/>
              <w:keepLines/>
              <w:spacing w:after="0" w:line="240" w:lineRule="auto"/>
              <w:jc w:val="right"/>
            </w:pPr>
            <w:r>
              <w:rPr>
                <w:sz w:val="18"/>
              </w:rPr>
              <w:t>6.717,49</w:t>
            </w:r>
          </w:p>
        </w:tc>
        <w:tc>
          <w:tcPr>
            <w:tcW w:w="700" w:type="dxa"/>
            <w:tcMar>
              <w:top w:w="0" w:type="dxa"/>
              <w:bottom w:w="0" w:type="dxa"/>
            </w:tcMar>
            <w:vAlign w:val="center"/>
          </w:tcPr>
          <w:p w14:paraId="2863286C" w14:textId="77777777" w:rsidR="002660AA" w:rsidRDefault="009B260F">
            <w:pPr>
              <w:keepNext/>
              <w:keepLines/>
              <w:spacing w:after="0" w:line="240" w:lineRule="auto"/>
              <w:jc w:val="right"/>
            </w:pPr>
            <w:r>
              <w:rPr>
                <w:sz w:val="18"/>
              </w:rPr>
              <w:t>54,4</w:t>
            </w:r>
          </w:p>
        </w:tc>
      </w:tr>
    </w:tbl>
    <w:p w14:paraId="025225BF" w14:textId="77777777" w:rsidR="002660AA" w:rsidRDefault="002660AA">
      <w:pPr>
        <w:spacing w:after="0"/>
      </w:pPr>
    </w:p>
    <w:p w14:paraId="247ED0E7" w14:textId="77777777" w:rsidR="002660AA" w:rsidRDefault="009B260F">
      <w:r>
        <w:t>Do smanjenja  je došlo jer se tijekom 2024. godine nabavio rasadni materijal za uzgoj sadnica u rasadničkoj proizvodnji.</w:t>
      </w:r>
    </w:p>
    <w:p w14:paraId="3020F075" w14:textId="77777777" w:rsidR="002660AA" w:rsidRDefault="002660AA"/>
    <w:p w14:paraId="7AB58E5E" w14:textId="77777777" w:rsidR="002660AA" w:rsidRDefault="009B260F">
      <w:pPr>
        <w:keepNext/>
        <w:spacing w:line="240" w:lineRule="auto"/>
        <w:jc w:val="center"/>
      </w:pPr>
      <w:r>
        <w:rPr>
          <w:sz w:val="28"/>
        </w:rPr>
        <w:t>Bilješka 37.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525CC9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223B27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E837FD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5CC1C7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26C03E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DD86A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182E205" w14:textId="77777777" w:rsidR="002660AA" w:rsidRDefault="009B260F">
            <w:pPr>
              <w:keepNext/>
              <w:keepLines/>
              <w:spacing w:after="0" w:line="240" w:lineRule="auto"/>
              <w:jc w:val="center"/>
            </w:pPr>
            <w:r>
              <w:rPr>
                <w:b/>
                <w:sz w:val="18"/>
              </w:rPr>
              <w:t>Indeks (%)</w:t>
            </w:r>
          </w:p>
        </w:tc>
      </w:tr>
      <w:tr w:rsidR="002660AA" w14:paraId="4042F490" w14:textId="77777777">
        <w:tblPrEx>
          <w:tblCellMar>
            <w:top w:w="0" w:type="dxa"/>
            <w:bottom w:w="0" w:type="dxa"/>
          </w:tblCellMar>
        </w:tblPrEx>
        <w:trPr>
          <w:cantSplit/>
          <w:trHeight w:val="560"/>
        </w:trPr>
        <w:tc>
          <w:tcPr>
            <w:tcW w:w="700" w:type="dxa"/>
            <w:tcMar>
              <w:top w:w="0" w:type="dxa"/>
              <w:bottom w:w="0" w:type="dxa"/>
            </w:tcMar>
            <w:vAlign w:val="center"/>
          </w:tcPr>
          <w:p w14:paraId="46273AA3" w14:textId="77777777" w:rsidR="002660AA" w:rsidRDefault="009B260F">
            <w:pPr>
              <w:keepNext/>
              <w:keepLines/>
              <w:spacing w:after="0" w:line="240" w:lineRule="auto"/>
            </w:pPr>
            <w:r>
              <w:rPr>
                <w:sz w:val="18"/>
              </w:rPr>
              <w:t>3225</w:t>
            </w:r>
          </w:p>
        </w:tc>
        <w:tc>
          <w:tcPr>
            <w:tcW w:w="3180" w:type="dxa"/>
            <w:tcMar>
              <w:top w:w="0" w:type="dxa"/>
              <w:bottom w:w="0" w:type="dxa"/>
            </w:tcMar>
            <w:vAlign w:val="center"/>
          </w:tcPr>
          <w:p w14:paraId="6A016172" w14:textId="77777777" w:rsidR="002660AA" w:rsidRDefault="009B260F">
            <w:pPr>
              <w:keepNext/>
              <w:keepLines/>
              <w:spacing w:after="0" w:line="240" w:lineRule="auto"/>
            </w:pPr>
            <w:r>
              <w:rPr>
                <w:sz w:val="18"/>
              </w:rPr>
              <w:t>Sitni inventar i autogume</w:t>
            </w:r>
          </w:p>
        </w:tc>
        <w:tc>
          <w:tcPr>
            <w:tcW w:w="700" w:type="dxa"/>
            <w:tcMar>
              <w:top w:w="0" w:type="dxa"/>
              <w:bottom w:w="0" w:type="dxa"/>
            </w:tcMar>
            <w:vAlign w:val="center"/>
          </w:tcPr>
          <w:p w14:paraId="52043146" w14:textId="77777777" w:rsidR="002660AA" w:rsidRDefault="009B260F">
            <w:pPr>
              <w:keepNext/>
              <w:keepLines/>
              <w:spacing w:after="0" w:line="240" w:lineRule="auto"/>
            </w:pPr>
            <w:r>
              <w:rPr>
                <w:sz w:val="18"/>
              </w:rPr>
              <w:t>3225</w:t>
            </w:r>
          </w:p>
        </w:tc>
        <w:tc>
          <w:tcPr>
            <w:tcW w:w="1860" w:type="dxa"/>
            <w:tcMar>
              <w:top w:w="0" w:type="dxa"/>
              <w:bottom w:w="0" w:type="dxa"/>
            </w:tcMar>
            <w:vAlign w:val="center"/>
          </w:tcPr>
          <w:p w14:paraId="05E322A0" w14:textId="77777777" w:rsidR="002660AA" w:rsidRDefault="009B260F">
            <w:pPr>
              <w:keepNext/>
              <w:keepLines/>
              <w:spacing w:after="0" w:line="240" w:lineRule="auto"/>
              <w:jc w:val="right"/>
            </w:pPr>
            <w:r>
              <w:rPr>
                <w:sz w:val="18"/>
              </w:rPr>
              <w:t>106.165,33</w:t>
            </w:r>
          </w:p>
        </w:tc>
        <w:tc>
          <w:tcPr>
            <w:tcW w:w="1860" w:type="dxa"/>
            <w:tcMar>
              <w:top w:w="0" w:type="dxa"/>
              <w:bottom w:w="0" w:type="dxa"/>
            </w:tcMar>
            <w:vAlign w:val="center"/>
          </w:tcPr>
          <w:p w14:paraId="75B3FF95" w14:textId="77777777" w:rsidR="002660AA" w:rsidRDefault="009B260F">
            <w:pPr>
              <w:keepNext/>
              <w:keepLines/>
              <w:spacing w:after="0" w:line="240" w:lineRule="auto"/>
              <w:jc w:val="right"/>
            </w:pPr>
            <w:r>
              <w:rPr>
                <w:sz w:val="18"/>
              </w:rPr>
              <w:t>18.212,52</w:t>
            </w:r>
          </w:p>
        </w:tc>
        <w:tc>
          <w:tcPr>
            <w:tcW w:w="700" w:type="dxa"/>
            <w:tcMar>
              <w:top w:w="0" w:type="dxa"/>
              <w:bottom w:w="0" w:type="dxa"/>
            </w:tcMar>
            <w:vAlign w:val="center"/>
          </w:tcPr>
          <w:p w14:paraId="1560DE75" w14:textId="77777777" w:rsidR="002660AA" w:rsidRDefault="009B260F">
            <w:pPr>
              <w:keepNext/>
              <w:keepLines/>
              <w:spacing w:after="0" w:line="240" w:lineRule="auto"/>
              <w:jc w:val="right"/>
            </w:pPr>
            <w:r>
              <w:rPr>
                <w:sz w:val="18"/>
              </w:rPr>
              <w:t>17,2</w:t>
            </w:r>
          </w:p>
        </w:tc>
      </w:tr>
    </w:tbl>
    <w:p w14:paraId="63AD0BC8" w14:textId="77777777" w:rsidR="002660AA" w:rsidRDefault="002660AA">
      <w:pPr>
        <w:spacing w:after="0"/>
      </w:pPr>
    </w:p>
    <w:p w14:paraId="00A9DED6" w14:textId="77777777" w:rsidR="002660AA" w:rsidRDefault="009B260F">
      <w:r>
        <w:t>Do velikog smanjenja je došlo zbog nabavki sitnog inventara za OŠ Podolice u sklopu CDŠ programa financiranog od strane Ministarstva znanosti obrazovanja i mladih koji se realizirao tijekom 2024. godine.</w:t>
      </w:r>
    </w:p>
    <w:p w14:paraId="0FD66FCB" w14:textId="77777777" w:rsidR="002660AA" w:rsidRDefault="002660AA"/>
    <w:p w14:paraId="308B6D21" w14:textId="77777777" w:rsidR="002660AA" w:rsidRDefault="009B260F">
      <w:pPr>
        <w:keepNext/>
        <w:spacing w:line="240" w:lineRule="auto"/>
        <w:jc w:val="center"/>
      </w:pPr>
      <w:r>
        <w:rPr>
          <w:sz w:val="28"/>
        </w:rPr>
        <w:t>Bilješka 38.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524FF4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FE65AA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3316C35"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A112F4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04EB02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5C86BF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4E375A4" w14:textId="77777777" w:rsidR="002660AA" w:rsidRDefault="009B260F">
            <w:pPr>
              <w:keepNext/>
              <w:keepLines/>
              <w:spacing w:after="0" w:line="240" w:lineRule="auto"/>
              <w:jc w:val="center"/>
            </w:pPr>
            <w:r>
              <w:rPr>
                <w:b/>
                <w:sz w:val="18"/>
              </w:rPr>
              <w:t>Indeks (%)</w:t>
            </w:r>
          </w:p>
        </w:tc>
      </w:tr>
      <w:tr w:rsidR="002660AA" w14:paraId="0A136B9F" w14:textId="77777777">
        <w:tblPrEx>
          <w:tblCellMar>
            <w:top w:w="0" w:type="dxa"/>
            <w:bottom w:w="0" w:type="dxa"/>
          </w:tblCellMar>
        </w:tblPrEx>
        <w:trPr>
          <w:cantSplit/>
          <w:trHeight w:val="560"/>
        </w:trPr>
        <w:tc>
          <w:tcPr>
            <w:tcW w:w="700" w:type="dxa"/>
            <w:tcMar>
              <w:top w:w="0" w:type="dxa"/>
              <w:bottom w:w="0" w:type="dxa"/>
            </w:tcMar>
            <w:vAlign w:val="center"/>
          </w:tcPr>
          <w:p w14:paraId="77621371" w14:textId="77777777" w:rsidR="002660AA" w:rsidRDefault="009B260F">
            <w:pPr>
              <w:keepNext/>
              <w:keepLines/>
              <w:spacing w:after="0" w:line="240" w:lineRule="auto"/>
            </w:pPr>
            <w:r>
              <w:rPr>
                <w:sz w:val="18"/>
              </w:rPr>
              <w:t>3227</w:t>
            </w:r>
          </w:p>
        </w:tc>
        <w:tc>
          <w:tcPr>
            <w:tcW w:w="3180" w:type="dxa"/>
            <w:tcMar>
              <w:top w:w="0" w:type="dxa"/>
              <w:bottom w:w="0" w:type="dxa"/>
            </w:tcMar>
            <w:vAlign w:val="center"/>
          </w:tcPr>
          <w:p w14:paraId="0890CF4A" w14:textId="77777777" w:rsidR="002660AA" w:rsidRDefault="009B260F">
            <w:pPr>
              <w:keepNext/>
              <w:keepLines/>
              <w:spacing w:after="0" w:line="240" w:lineRule="auto"/>
            </w:pPr>
            <w:r>
              <w:rPr>
                <w:sz w:val="18"/>
              </w:rPr>
              <w:t>Službena, radna i zaštitna odjeća i obuća</w:t>
            </w:r>
          </w:p>
        </w:tc>
        <w:tc>
          <w:tcPr>
            <w:tcW w:w="700" w:type="dxa"/>
            <w:tcMar>
              <w:top w:w="0" w:type="dxa"/>
              <w:bottom w:w="0" w:type="dxa"/>
            </w:tcMar>
            <w:vAlign w:val="center"/>
          </w:tcPr>
          <w:p w14:paraId="366CF977" w14:textId="77777777" w:rsidR="002660AA" w:rsidRDefault="009B260F">
            <w:pPr>
              <w:keepNext/>
              <w:keepLines/>
              <w:spacing w:after="0" w:line="240" w:lineRule="auto"/>
            </w:pPr>
            <w:r>
              <w:rPr>
                <w:sz w:val="18"/>
              </w:rPr>
              <w:t>3227</w:t>
            </w:r>
          </w:p>
        </w:tc>
        <w:tc>
          <w:tcPr>
            <w:tcW w:w="1860" w:type="dxa"/>
            <w:tcMar>
              <w:top w:w="0" w:type="dxa"/>
              <w:bottom w:w="0" w:type="dxa"/>
            </w:tcMar>
            <w:vAlign w:val="center"/>
          </w:tcPr>
          <w:p w14:paraId="0DAB0AD2" w14:textId="77777777" w:rsidR="002660AA" w:rsidRDefault="009B260F">
            <w:pPr>
              <w:keepNext/>
              <w:keepLines/>
              <w:spacing w:after="0" w:line="240" w:lineRule="auto"/>
              <w:jc w:val="right"/>
            </w:pPr>
            <w:r>
              <w:rPr>
                <w:sz w:val="18"/>
              </w:rPr>
              <w:t>1.281,77</w:t>
            </w:r>
          </w:p>
        </w:tc>
        <w:tc>
          <w:tcPr>
            <w:tcW w:w="1860" w:type="dxa"/>
            <w:tcMar>
              <w:top w:w="0" w:type="dxa"/>
              <w:bottom w:w="0" w:type="dxa"/>
            </w:tcMar>
            <w:vAlign w:val="center"/>
          </w:tcPr>
          <w:p w14:paraId="75CAE3CA" w14:textId="77777777" w:rsidR="002660AA" w:rsidRDefault="009B260F">
            <w:pPr>
              <w:keepNext/>
              <w:keepLines/>
              <w:spacing w:after="0" w:line="240" w:lineRule="auto"/>
              <w:jc w:val="right"/>
            </w:pPr>
            <w:r>
              <w:rPr>
                <w:sz w:val="18"/>
              </w:rPr>
              <w:t>5.060,22</w:t>
            </w:r>
          </w:p>
        </w:tc>
        <w:tc>
          <w:tcPr>
            <w:tcW w:w="700" w:type="dxa"/>
            <w:tcMar>
              <w:top w:w="0" w:type="dxa"/>
              <w:bottom w:w="0" w:type="dxa"/>
            </w:tcMar>
            <w:vAlign w:val="center"/>
          </w:tcPr>
          <w:p w14:paraId="0391C3DB" w14:textId="77777777" w:rsidR="002660AA" w:rsidRDefault="009B260F">
            <w:pPr>
              <w:keepNext/>
              <w:keepLines/>
              <w:spacing w:after="0" w:line="240" w:lineRule="auto"/>
              <w:jc w:val="right"/>
            </w:pPr>
            <w:r>
              <w:rPr>
                <w:sz w:val="18"/>
              </w:rPr>
              <w:t>394,8</w:t>
            </w:r>
          </w:p>
        </w:tc>
      </w:tr>
    </w:tbl>
    <w:p w14:paraId="26147C0B" w14:textId="77777777" w:rsidR="002660AA" w:rsidRDefault="002660AA">
      <w:pPr>
        <w:spacing w:after="0"/>
      </w:pPr>
    </w:p>
    <w:p w14:paraId="7AE77E32" w14:textId="77777777" w:rsidR="002660AA" w:rsidRDefault="009B260F">
      <w:r>
        <w:t>Službena, radna i zaštitna odjeća i obuća bilježe realizaciju od 5.060,22 EUR što je u relativnosm smislu značano više u odnosu na 2024. godinu.  Do povećanja realizacije je došlo radi većih nabavki radne odjeće za zaposlene na javnim radovima.</w:t>
      </w:r>
    </w:p>
    <w:p w14:paraId="1DE139F4" w14:textId="77777777" w:rsidR="002660AA" w:rsidRDefault="002660AA"/>
    <w:p w14:paraId="64790DCB" w14:textId="77777777" w:rsidR="002660AA" w:rsidRDefault="009B260F">
      <w:pPr>
        <w:keepNext/>
        <w:spacing w:line="240" w:lineRule="auto"/>
        <w:jc w:val="center"/>
      </w:pPr>
      <w:r>
        <w:rPr>
          <w:sz w:val="28"/>
        </w:rPr>
        <w:t>Bilješka 39.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6A90D6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31321E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007754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92A012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7AF408"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6F0BFF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D00E6F4" w14:textId="77777777" w:rsidR="002660AA" w:rsidRDefault="009B260F">
            <w:pPr>
              <w:keepNext/>
              <w:keepLines/>
              <w:spacing w:after="0" w:line="240" w:lineRule="auto"/>
              <w:jc w:val="center"/>
            </w:pPr>
            <w:r>
              <w:rPr>
                <w:b/>
                <w:sz w:val="18"/>
              </w:rPr>
              <w:t>Indeks (%)</w:t>
            </w:r>
          </w:p>
        </w:tc>
      </w:tr>
      <w:tr w:rsidR="002660AA" w14:paraId="3C5C4A3F" w14:textId="77777777">
        <w:tblPrEx>
          <w:tblCellMar>
            <w:top w:w="0" w:type="dxa"/>
            <w:bottom w:w="0" w:type="dxa"/>
          </w:tblCellMar>
        </w:tblPrEx>
        <w:trPr>
          <w:cantSplit/>
          <w:trHeight w:val="560"/>
        </w:trPr>
        <w:tc>
          <w:tcPr>
            <w:tcW w:w="700" w:type="dxa"/>
            <w:tcMar>
              <w:top w:w="0" w:type="dxa"/>
              <w:bottom w:w="0" w:type="dxa"/>
            </w:tcMar>
            <w:vAlign w:val="center"/>
          </w:tcPr>
          <w:p w14:paraId="0E735447" w14:textId="77777777" w:rsidR="002660AA" w:rsidRDefault="009B260F">
            <w:pPr>
              <w:keepNext/>
              <w:keepLines/>
              <w:spacing w:after="0" w:line="240" w:lineRule="auto"/>
            </w:pPr>
            <w:r>
              <w:rPr>
                <w:sz w:val="18"/>
              </w:rPr>
              <w:t>3231</w:t>
            </w:r>
          </w:p>
        </w:tc>
        <w:tc>
          <w:tcPr>
            <w:tcW w:w="3180" w:type="dxa"/>
            <w:tcMar>
              <w:top w:w="0" w:type="dxa"/>
              <w:bottom w:w="0" w:type="dxa"/>
            </w:tcMar>
            <w:vAlign w:val="center"/>
          </w:tcPr>
          <w:p w14:paraId="7974DBF1" w14:textId="77777777" w:rsidR="002660AA" w:rsidRDefault="009B260F">
            <w:pPr>
              <w:keepNext/>
              <w:keepLines/>
              <w:spacing w:after="0" w:line="240" w:lineRule="auto"/>
            </w:pPr>
            <w:r>
              <w:rPr>
                <w:sz w:val="18"/>
              </w:rPr>
              <w:t>Usluge telefona, interneta, pošte i prijevoza</w:t>
            </w:r>
          </w:p>
        </w:tc>
        <w:tc>
          <w:tcPr>
            <w:tcW w:w="700" w:type="dxa"/>
            <w:tcMar>
              <w:top w:w="0" w:type="dxa"/>
              <w:bottom w:w="0" w:type="dxa"/>
            </w:tcMar>
            <w:vAlign w:val="center"/>
          </w:tcPr>
          <w:p w14:paraId="13269694" w14:textId="77777777" w:rsidR="002660AA" w:rsidRDefault="009B260F">
            <w:pPr>
              <w:keepNext/>
              <w:keepLines/>
              <w:spacing w:after="0" w:line="240" w:lineRule="auto"/>
            </w:pPr>
            <w:r>
              <w:rPr>
                <w:sz w:val="18"/>
              </w:rPr>
              <w:t>3231</w:t>
            </w:r>
          </w:p>
        </w:tc>
        <w:tc>
          <w:tcPr>
            <w:tcW w:w="1860" w:type="dxa"/>
            <w:tcMar>
              <w:top w:w="0" w:type="dxa"/>
              <w:bottom w:w="0" w:type="dxa"/>
            </w:tcMar>
            <w:vAlign w:val="center"/>
          </w:tcPr>
          <w:p w14:paraId="4A6B6024" w14:textId="77777777" w:rsidR="002660AA" w:rsidRDefault="009B260F">
            <w:pPr>
              <w:keepNext/>
              <w:keepLines/>
              <w:spacing w:after="0" w:line="240" w:lineRule="auto"/>
              <w:jc w:val="right"/>
            </w:pPr>
            <w:r>
              <w:rPr>
                <w:sz w:val="18"/>
              </w:rPr>
              <w:t>194.214,96</w:t>
            </w:r>
          </w:p>
        </w:tc>
        <w:tc>
          <w:tcPr>
            <w:tcW w:w="1860" w:type="dxa"/>
            <w:tcMar>
              <w:top w:w="0" w:type="dxa"/>
              <w:bottom w:w="0" w:type="dxa"/>
            </w:tcMar>
            <w:vAlign w:val="center"/>
          </w:tcPr>
          <w:p w14:paraId="14541DA5" w14:textId="77777777" w:rsidR="002660AA" w:rsidRDefault="009B260F">
            <w:pPr>
              <w:keepNext/>
              <w:keepLines/>
              <w:spacing w:after="0" w:line="240" w:lineRule="auto"/>
              <w:jc w:val="right"/>
            </w:pPr>
            <w:r>
              <w:rPr>
                <w:sz w:val="18"/>
              </w:rPr>
              <w:t>218.106,77</w:t>
            </w:r>
          </w:p>
        </w:tc>
        <w:tc>
          <w:tcPr>
            <w:tcW w:w="700" w:type="dxa"/>
            <w:tcMar>
              <w:top w:w="0" w:type="dxa"/>
              <w:bottom w:w="0" w:type="dxa"/>
            </w:tcMar>
            <w:vAlign w:val="center"/>
          </w:tcPr>
          <w:p w14:paraId="7A02113D" w14:textId="77777777" w:rsidR="002660AA" w:rsidRDefault="009B260F">
            <w:pPr>
              <w:keepNext/>
              <w:keepLines/>
              <w:spacing w:after="0" w:line="240" w:lineRule="auto"/>
              <w:jc w:val="right"/>
            </w:pPr>
            <w:r>
              <w:rPr>
                <w:sz w:val="18"/>
              </w:rPr>
              <w:t>112,3</w:t>
            </w:r>
          </w:p>
        </w:tc>
      </w:tr>
    </w:tbl>
    <w:p w14:paraId="3B991ABE" w14:textId="77777777" w:rsidR="002660AA" w:rsidRDefault="002660AA">
      <w:pPr>
        <w:spacing w:after="0"/>
      </w:pPr>
    </w:p>
    <w:p w14:paraId="7BA3CC47" w14:textId="77777777" w:rsidR="002660AA" w:rsidRDefault="009B260F">
      <w:r>
        <w:t>Rashodi su veći radi većeg troška financiranja javnog prijevoza na području grada i sufinanciranja troškova prijevoza osoba narušenog zdravlja.</w:t>
      </w:r>
    </w:p>
    <w:p w14:paraId="55E0B727" w14:textId="77777777" w:rsidR="002660AA" w:rsidRDefault="002660AA"/>
    <w:p w14:paraId="28DF3AA5" w14:textId="77777777" w:rsidR="002660AA" w:rsidRDefault="009B260F">
      <w:pPr>
        <w:keepNext/>
        <w:spacing w:line="240" w:lineRule="auto"/>
        <w:jc w:val="center"/>
      </w:pPr>
      <w:r>
        <w:rPr>
          <w:sz w:val="28"/>
        </w:rPr>
        <w:t>Bilješka 40.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3476C9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6D99FD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5D6A58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699B18C"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13CF87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B15A8D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8FAA98D" w14:textId="77777777" w:rsidR="002660AA" w:rsidRDefault="009B260F">
            <w:pPr>
              <w:keepNext/>
              <w:keepLines/>
              <w:spacing w:after="0" w:line="240" w:lineRule="auto"/>
              <w:jc w:val="center"/>
            </w:pPr>
            <w:r>
              <w:rPr>
                <w:b/>
                <w:sz w:val="18"/>
              </w:rPr>
              <w:t>Indeks (%)</w:t>
            </w:r>
          </w:p>
        </w:tc>
      </w:tr>
      <w:tr w:rsidR="002660AA" w14:paraId="6AD34D2F" w14:textId="77777777">
        <w:tblPrEx>
          <w:tblCellMar>
            <w:top w:w="0" w:type="dxa"/>
            <w:bottom w:w="0" w:type="dxa"/>
          </w:tblCellMar>
        </w:tblPrEx>
        <w:trPr>
          <w:cantSplit/>
          <w:trHeight w:val="560"/>
        </w:trPr>
        <w:tc>
          <w:tcPr>
            <w:tcW w:w="700" w:type="dxa"/>
            <w:tcMar>
              <w:top w:w="0" w:type="dxa"/>
              <w:bottom w:w="0" w:type="dxa"/>
            </w:tcMar>
            <w:vAlign w:val="center"/>
          </w:tcPr>
          <w:p w14:paraId="261D220A" w14:textId="77777777" w:rsidR="002660AA" w:rsidRDefault="009B260F">
            <w:pPr>
              <w:keepNext/>
              <w:keepLines/>
              <w:spacing w:after="0" w:line="240" w:lineRule="auto"/>
            </w:pPr>
            <w:r>
              <w:rPr>
                <w:sz w:val="18"/>
              </w:rPr>
              <w:t>3232</w:t>
            </w:r>
          </w:p>
        </w:tc>
        <w:tc>
          <w:tcPr>
            <w:tcW w:w="3180" w:type="dxa"/>
            <w:tcMar>
              <w:top w:w="0" w:type="dxa"/>
              <w:bottom w:w="0" w:type="dxa"/>
            </w:tcMar>
            <w:vAlign w:val="center"/>
          </w:tcPr>
          <w:p w14:paraId="46AF9CEB" w14:textId="77777777" w:rsidR="002660AA" w:rsidRDefault="009B260F">
            <w:pPr>
              <w:keepNext/>
              <w:keepLines/>
              <w:spacing w:after="0" w:line="240" w:lineRule="auto"/>
            </w:pPr>
            <w:r>
              <w:rPr>
                <w:sz w:val="18"/>
              </w:rPr>
              <w:t>Usluge tekućeg i investicijskog održavanja</w:t>
            </w:r>
          </w:p>
        </w:tc>
        <w:tc>
          <w:tcPr>
            <w:tcW w:w="700" w:type="dxa"/>
            <w:tcMar>
              <w:top w:w="0" w:type="dxa"/>
              <w:bottom w:w="0" w:type="dxa"/>
            </w:tcMar>
            <w:vAlign w:val="center"/>
          </w:tcPr>
          <w:p w14:paraId="5A23C18E" w14:textId="77777777" w:rsidR="002660AA" w:rsidRDefault="009B260F">
            <w:pPr>
              <w:keepNext/>
              <w:keepLines/>
              <w:spacing w:after="0" w:line="240" w:lineRule="auto"/>
            </w:pPr>
            <w:r>
              <w:rPr>
                <w:sz w:val="18"/>
              </w:rPr>
              <w:t>3232</w:t>
            </w:r>
          </w:p>
        </w:tc>
        <w:tc>
          <w:tcPr>
            <w:tcW w:w="1860" w:type="dxa"/>
            <w:tcMar>
              <w:top w:w="0" w:type="dxa"/>
              <w:bottom w:w="0" w:type="dxa"/>
            </w:tcMar>
            <w:vAlign w:val="center"/>
          </w:tcPr>
          <w:p w14:paraId="28C54ACA" w14:textId="77777777" w:rsidR="002660AA" w:rsidRDefault="009B260F">
            <w:pPr>
              <w:keepNext/>
              <w:keepLines/>
              <w:spacing w:after="0" w:line="240" w:lineRule="auto"/>
              <w:jc w:val="right"/>
            </w:pPr>
            <w:r>
              <w:rPr>
                <w:sz w:val="18"/>
              </w:rPr>
              <w:t>4.471.761,28</w:t>
            </w:r>
          </w:p>
        </w:tc>
        <w:tc>
          <w:tcPr>
            <w:tcW w:w="1860" w:type="dxa"/>
            <w:tcMar>
              <w:top w:w="0" w:type="dxa"/>
              <w:bottom w:w="0" w:type="dxa"/>
            </w:tcMar>
            <w:vAlign w:val="center"/>
          </w:tcPr>
          <w:p w14:paraId="33D2F7EF" w14:textId="77777777" w:rsidR="002660AA" w:rsidRDefault="009B260F">
            <w:pPr>
              <w:keepNext/>
              <w:keepLines/>
              <w:spacing w:after="0" w:line="240" w:lineRule="auto"/>
              <w:jc w:val="right"/>
            </w:pPr>
            <w:r>
              <w:rPr>
                <w:sz w:val="18"/>
              </w:rPr>
              <w:t>6.514.141,81</w:t>
            </w:r>
          </w:p>
        </w:tc>
        <w:tc>
          <w:tcPr>
            <w:tcW w:w="700" w:type="dxa"/>
            <w:tcMar>
              <w:top w:w="0" w:type="dxa"/>
              <w:bottom w:w="0" w:type="dxa"/>
            </w:tcMar>
            <w:vAlign w:val="center"/>
          </w:tcPr>
          <w:p w14:paraId="3F7E496A" w14:textId="77777777" w:rsidR="002660AA" w:rsidRDefault="009B260F">
            <w:pPr>
              <w:keepNext/>
              <w:keepLines/>
              <w:spacing w:after="0" w:line="240" w:lineRule="auto"/>
              <w:jc w:val="right"/>
            </w:pPr>
            <w:r>
              <w:rPr>
                <w:sz w:val="18"/>
              </w:rPr>
              <w:t>145,7</w:t>
            </w:r>
          </w:p>
        </w:tc>
      </w:tr>
    </w:tbl>
    <w:p w14:paraId="4744F092" w14:textId="77777777" w:rsidR="002660AA" w:rsidRDefault="002660AA">
      <w:pPr>
        <w:spacing w:after="0"/>
      </w:pPr>
    </w:p>
    <w:p w14:paraId="3ACDEB7A" w14:textId="77777777" w:rsidR="002660AA" w:rsidRDefault="009B260F">
      <w:r>
        <w:t>Do porasta je došlo radi značajnih troškova u sklopu dvije aktivnosti , godišnjeg održavanje nerazvrstanih cesta i održavanje javnih površina i čistoće.</w:t>
      </w:r>
    </w:p>
    <w:p w14:paraId="08CF8A61" w14:textId="77777777" w:rsidR="002660AA" w:rsidRDefault="002660AA"/>
    <w:p w14:paraId="1CFC63A9" w14:textId="77777777" w:rsidR="002660AA" w:rsidRDefault="009B260F">
      <w:pPr>
        <w:keepNext/>
        <w:spacing w:line="240" w:lineRule="auto"/>
        <w:jc w:val="center"/>
      </w:pPr>
      <w:r>
        <w:rPr>
          <w:sz w:val="28"/>
        </w:rPr>
        <w:t>Bilješka 41.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069005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9881B9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598525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F9BBA8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450C97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A4D484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1D9824F" w14:textId="77777777" w:rsidR="002660AA" w:rsidRDefault="009B260F">
            <w:pPr>
              <w:keepNext/>
              <w:keepLines/>
              <w:spacing w:after="0" w:line="240" w:lineRule="auto"/>
              <w:jc w:val="center"/>
            </w:pPr>
            <w:r>
              <w:rPr>
                <w:b/>
                <w:sz w:val="18"/>
              </w:rPr>
              <w:t>Indeks (%)</w:t>
            </w:r>
          </w:p>
        </w:tc>
      </w:tr>
      <w:tr w:rsidR="002660AA" w14:paraId="714A6521" w14:textId="77777777">
        <w:tblPrEx>
          <w:tblCellMar>
            <w:top w:w="0" w:type="dxa"/>
            <w:bottom w:w="0" w:type="dxa"/>
          </w:tblCellMar>
        </w:tblPrEx>
        <w:trPr>
          <w:cantSplit/>
          <w:trHeight w:val="560"/>
        </w:trPr>
        <w:tc>
          <w:tcPr>
            <w:tcW w:w="700" w:type="dxa"/>
            <w:tcMar>
              <w:top w:w="0" w:type="dxa"/>
              <w:bottom w:w="0" w:type="dxa"/>
            </w:tcMar>
            <w:vAlign w:val="center"/>
          </w:tcPr>
          <w:p w14:paraId="773EFC2B" w14:textId="77777777" w:rsidR="002660AA" w:rsidRDefault="009B260F">
            <w:pPr>
              <w:keepNext/>
              <w:keepLines/>
              <w:spacing w:after="0" w:line="240" w:lineRule="auto"/>
            </w:pPr>
            <w:r>
              <w:rPr>
                <w:sz w:val="18"/>
              </w:rPr>
              <w:t>3233</w:t>
            </w:r>
          </w:p>
        </w:tc>
        <w:tc>
          <w:tcPr>
            <w:tcW w:w="3180" w:type="dxa"/>
            <w:tcMar>
              <w:top w:w="0" w:type="dxa"/>
              <w:bottom w:w="0" w:type="dxa"/>
            </w:tcMar>
            <w:vAlign w:val="center"/>
          </w:tcPr>
          <w:p w14:paraId="465CF369" w14:textId="77777777" w:rsidR="002660AA" w:rsidRDefault="009B260F">
            <w:pPr>
              <w:keepNext/>
              <w:keepLines/>
              <w:spacing w:after="0" w:line="240" w:lineRule="auto"/>
            </w:pPr>
            <w:r>
              <w:rPr>
                <w:sz w:val="18"/>
              </w:rPr>
              <w:t>Usluge promidžbe i informiranja</w:t>
            </w:r>
          </w:p>
        </w:tc>
        <w:tc>
          <w:tcPr>
            <w:tcW w:w="700" w:type="dxa"/>
            <w:tcMar>
              <w:top w:w="0" w:type="dxa"/>
              <w:bottom w:w="0" w:type="dxa"/>
            </w:tcMar>
            <w:vAlign w:val="center"/>
          </w:tcPr>
          <w:p w14:paraId="76F2CB4C" w14:textId="77777777" w:rsidR="002660AA" w:rsidRDefault="009B260F">
            <w:pPr>
              <w:keepNext/>
              <w:keepLines/>
              <w:spacing w:after="0" w:line="240" w:lineRule="auto"/>
            </w:pPr>
            <w:r>
              <w:rPr>
                <w:sz w:val="18"/>
              </w:rPr>
              <w:t>3233</w:t>
            </w:r>
          </w:p>
        </w:tc>
        <w:tc>
          <w:tcPr>
            <w:tcW w:w="1860" w:type="dxa"/>
            <w:tcMar>
              <w:top w:w="0" w:type="dxa"/>
              <w:bottom w:w="0" w:type="dxa"/>
            </w:tcMar>
            <w:vAlign w:val="center"/>
          </w:tcPr>
          <w:p w14:paraId="5B6E1FBD" w14:textId="77777777" w:rsidR="002660AA" w:rsidRDefault="009B260F">
            <w:pPr>
              <w:keepNext/>
              <w:keepLines/>
              <w:spacing w:after="0" w:line="240" w:lineRule="auto"/>
              <w:jc w:val="right"/>
            </w:pPr>
            <w:r>
              <w:rPr>
                <w:sz w:val="18"/>
              </w:rPr>
              <w:t>198.783,17</w:t>
            </w:r>
          </w:p>
        </w:tc>
        <w:tc>
          <w:tcPr>
            <w:tcW w:w="1860" w:type="dxa"/>
            <w:tcMar>
              <w:top w:w="0" w:type="dxa"/>
              <w:bottom w:w="0" w:type="dxa"/>
            </w:tcMar>
            <w:vAlign w:val="center"/>
          </w:tcPr>
          <w:p w14:paraId="2AC47CB0" w14:textId="77777777" w:rsidR="002660AA" w:rsidRDefault="009B260F">
            <w:pPr>
              <w:keepNext/>
              <w:keepLines/>
              <w:spacing w:after="0" w:line="240" w:lineRule="auto"/>
              <w:jc w:val="right"/>
            </w:pPr>
            <w:r>
              <w:rPr>
                <w:sz w:val="18"/>
              </w:rPr>
              <w:t>111.569,70</w:t>
            </w:r>
          </w:p>
        </w:tc>
        <w:tc>
          <w:tcPr>
            <w:tcW w:w="700" w:type="dxa"/>
            <w:tcMar>
              <w:top w:w="0" w:type="dxa"/>
              <w:bottom w:w="0" w:type="dxa"/>
            </w:tcMar>
            <w:vAlign w:val="center"/>
          </w:tcPr>
          <w:p w14:paraId="4EF03C69" w14:textId="77777777" w:rsidR="002660AA" w:rsidRDefault="009B260F">
            <w:pPr>
              <w:keepNext/>
              <w:keepLines/>
              <w:spacing w:after="0" w:line="240" w:lineRule="auto"/>
              <w:jc w:val="right"/>
            </w:pPr>
            <w:r>
              <w:rPr>
                <w:sz w:val="18"/>
              </w:rPr>
              <w:t>56,1</w:t>
            </w:r>
          </w:p>
        </w:tc>
      </w:tr>
    </w:tbl>
    <w:p w14:paraId="4E168CC9" w14:textId="77777777" w:rsidR="002660AA" w:rsidRDefault="002660AA">
      <w:pPr>
        <w:spacing w:after="0"/>
      </w:pPr>
    </w:p>
    <w:p w14:paraId="5223E724" w14:textId="77777777" w:rsidR="002660AA" w:rsidRDefault="009B260F">
      <w:r>
        <w:t>Do smanjenja je došlo radi raspisivanja javnog poziva za financiranje medija koji se evidentirao prethodne godine kao dana subvencija, tijekom 2024. godine trošak medija knjižen je na 3233.</w:t>
      </w:r>
    </w:p>
    <w:p w14:paraId="46672E0A" w14:textId="77777777" w:rsidR="002660AA" w:rsidRDefault="002660AA"/>
    <w:p w14:paraId="7F5E06ED" w14:textId="77777777" w:rsidR="002660AA" w:rsidRDefault="009B260F">
      <w:pPr>
        <w:keepNext/>
        <w:spacing w:line="240" w:lineRule="auto"/>
        <w:jc w:val="center"/>
      </w:pPr>
      <w:r>
        <w:rPr>
          <w:sz w:val="28"/>
        </w:rPr>
        <w:t>Bilješka 42.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3F2C81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53CB55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506E05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3D959D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458B76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A8158B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F344975" w14:textId="77777777" w:rsidR="002660AA" w:rsidRDefault="009B260F">
            <w:pPr>
              <w:keepNext/>
              <w:keepLines/>
              <w:spacing w:after="0" w:line="240" w:lineRule="auto"/>
              <w:jc w:val="center"/>
            </w:pPr>
            <w:r>
              <w:rPr>
                <w:b/>
                <w:sz w:val="18"/>
              </w:rPr>
              <w:t>Indeks (%)</w:t>
            </w:r>
          </w:p>
        </w:tc>
      </w:tr>
      <w:tr w:rsidR="002660AA" w14:paraId="2504F2E5" w14:textId="77777777">
        <w:tblPrEx>
          <w:tblCellMar>
            <w:top w:w="0" w:type="dxa"/>
            <w:bottom w:w="0" w:type="dxa"/>
          </w:tblCellMar>
        </w:tblPrEx>
        <w:trPr>
          <w:cantSplit/>
          <w:trHeight w:val="560"/>
        </w:trPr>
        <w:tc>
          <w:tcPr>
            <w:tcW w:w="700" w:type="dxa"/>
            <w:tcMar>
              <w:top w:w="0" w:type="dxa"/>
              <w:bottom w:w="0" w:type="dxa"/>
            </w:tcMar>
            <w:vAlign w:val="center"/>
          </w:tcPr>
          <w:p w14:paraId="13F34293" w14:textId="77777777" w:rsidR="002660AA" w:rsidRDefault="009B260F">
            <w:pPr>
              <w:keepNext/>
              <w:keepLines/>
              <w:spacing w:after="0" w:line="240" w:lineRule="auto"/>
            </w:pPr>
            <w:r>
              <w:rPr>
                <w:sz w:val="18"/>
              </w:rPr>
              <w:t>3234</w:t>
            </w:r>
          </w:p>
        </w:tc>
        <w:tc>
          <w:tcPr>
            <w:tcW w:w="3180" w:type="dxa"/>
            <w:tcMar>
              <w:top w:w="0" w:type="dxa"/>
              <w:bottom w:w="0" w:type="dxa"/>
            </w:tcMar>
            <w:vAlign w:val="center"/>
          </w:tcPr>
          <w:p w14:paraId="764DAC8F" w14:textId="77777777" w:rsidR="002660AA" w:rsidRDefault="009B260F">
            <w:pPr>
              <w:keepNext/>
              <w:keepLines/>
              <w:spacing w:after="0" w:line="240" w:lineRule="auto"/>
            </w:pPr>
            <w:r>
              <w:rPr>
                <w:sz w:val="18"/>
              </w:rPr>
              <w:t>Komunalne usluge</w:t>
            </w:r>
          </w:p>
        </w:tc>
        <w:tc>
          <w:tcPr>
            <w:tcW w:w="700" w:type="dxa"/>
            <w:tcMar>
              <w:top w:w="0" w:type="dxa"/>
              <w:bottom w:w="0" w:type="dxa"/>
            </w:tcMar>
            <w:vAlign w:val="center"/>
          </w:tcPr>
          <w:p w14:paraId="1CE1DBC5" w14:textId="77777777" w:rsidR="002660AA" w:rsidRDefault="009B260F">
            <w:pPr>
              <w:keepNext/>
              <w:keepLines/>
              <w:spacing w:after="0" w:line="240" w:lineRule="auto"/>
            </w:pPr>
            <w:r>
              <w:rPr>
                <w:sz w:val="18"/>
              </w:rPr>
              <w:t>3234</w:t>
            </w:r>
          </w:p>
        </w:tc>
        <w:tc>
          <w:tcPr>
            <w:tcW w:w="1860" w:type="dxa"/>
            <w:tcMar>
              <w:top w:w="0" w:type="dxa"/>
              <w:bottom w:w="0" w:type="dxa"/>
            </w:tcMar>
            <w:vAlign w:val="center"/>
          </w:tcPr>
          <w:p w14:paraId="1FB8C4BF" w14:textId="77777777" w:rsidR="002660AA" w:rsidRDefault="009B260F">
            <w:pPr>
              <w:keepNext/>
              <w:keepLines/>
              <w:spacing w:after="0" w:line="240" w:lineRule="auto"/>
              <w:jc w:val="right"/>
            </w:pPr>
            <w:r>
              <w:rPr>
                <w:sz w:val="18"/>
              </w:rPr>
              <w:t>120.340,20</w:t>
            </w:r>
          </w:p>
        </w:tc>
        <w:tc>
          <w:tcPr>
            <w:tcW w:w="1860" w:type="dxa"/>
            <w:tcMar>
              <w:top w:w="0" w:type="dxa"/>
              <w:bottom w:w="0" w:type="dxa"/>
            </w:tcMar>
            <w:vAlign w:val="center"/>
          </w:tcPr>
          <w:p w14:paraId="0E60A55D" w14:textId="77777777" w:rsidR="002660AA" w:rsidRDefault="009B260F">
            <w:pPr>
              <w:keepNext/>
              <w:keepLines/>
              <w:spacing w:after="0" w:line="240" w:lineRule="auto"/>
              <w:jc w:val="right"/>
            </w:pPr>
            <w:r>
              <w:rPr>
                <w:sz w:val="18"/>
              </w:rPr>
              <w:t>134.178,32</w:t>
            </w:r>
          </w:p>
        </w:tc>
        <w:tc>
          <w:tcPr>
            <w:tcW w:w="700" w:type="dxa"/>
            <w:tcMar>
              <w:top w:w="0" w:type="dxa"/>
              <w:bottom w:w="0" w:type="dxa"/>
            </w:tcMar>
            <w:vAlign w:val="center"/>
          </w:tcPr>
          <w:p w14:paraId="2CB48953" w14:textId="77777777" w:rsidR="002660AA" w:rsidRDefault="009B260F">
            <w:pPr>
              <w:keepNext/>
              <w:keepLines/>
              <w:spacing w:after="0" w:line="240" w:lineRule="auto"/>
              <w:jc w:val="right"/>
            </w:pPr>
            <w:r>
              <w:rPr>
                <w:sz w:val="18"/>
              </w:rPr>
              <w:t>111,5</w:t>
            </w:r>
          </w:p>
        </w:tc>
      </w:tr>
    </w:tbl>
    <w:p w14:paraId="49E70871" w14:textId="77777777" w:rsidR="002660AA" w:rsidRDefault="002660AA">
      <w:pPr>
        <w:spacing w:after="0"/>
      </w:pPr>
    </w:p>
    <w:p w14:paraId="3F3BBB4E" w14:textId="77777777" w:rsidR="002660AA" w:rsidRDefault="009B260F">
      <w:r>
        <w:t>Do porasta je došlo radi većih troškova odvoza ostalog (azbestnog ) otpada.</w:t>
      </w:r>
    </w:p>
    <w:p w14:paraId="718D7A85" w14:textId="77777777" w:rsidR="002660AA" w:rsidRDefault="002660AA"/>
    <w:p w14:paraId="5BA242B1" w14:textId="77777777" w:rsidR="002660AA" w:rsidRDefault="009B260F">
      <w:pPr>
        <w:keepNext/>
        <w:spacing w:line="240" w:lineRule="auto"/>
        <w:jc w:val="center"/>
      </w:pPr>
      <w:r>
        <w:rPr>
          <w:sz w:val="28"/>
        </w:rPr>
        <w:t>Bilješka 43.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DB0C8D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AE55C3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C10652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047C3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31EA3B9"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97BC43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C22CA1E" w14:textId="77777777" w:rsidR="002660AA" w:rsidRDefault="009B260F">
            <w:pPr>
              <w:keepNext/>
              <w:keepLines/>
              <w:spacing w:after="0" w:line="240" w:lineRule="auto"/>
              <w:jc w:val="center"/>
            </w:pPr>
            <w:r>
              <w:rPr>
                <w:b/>
                <w:sz w:val="18"/>
              </w:rPr>
              <w:t>Indeks (%)</w:t>
            </w:r>
          </w:p>
        </w:tc>
      </w:tr>
      <w:tr w:rsidR="002660AA" w14:paraId="41278FC2" w14:textId="77777777">
        <w:tblPrEx>
          <w:tblCellMar>
            <w:top w:w="0" w:type="dxa"/>
            <w:bottom w:w="0" w:type="dxa"/>
          </w:tblCellMar>
        </w:tblPrEx>
        <w:trPr>
          <w:cantSplit/>
          <w:trHeight w:val="560"/>
        </w:trPr>
        <w:tc>
          <w:tcPr>
            <w:tcW w:w="700" w:type="dxa"/>
            <w:tcMar>
              <w:top w:w="0" w:type="dxa"/>
              <w:bottom w:w="0" w:type="dxa"/>
            </w:tcMar>
            <w:vAlign w:val="center"/>
          </w:tcPr>
          <w:p w14:paraId="52151E18" w14:textId="77777777" w:rsidR="002660AA" w:rsidRDefault="009B260F">
            <w:pPr>
              <w:keepNext/>
              <w:keepLines/>
              <w:spacing w:after="0" w:line="240" w:lineRule="auto"/>
            </w:pPr>
            <w:r>
              <w:rPr>
                <w:sz w:val="18"/>
              </w:rPr>
              <w:t>3235</w:t>
            </w:r>
          </w:p>
        </w:tc>
        <w:tc>
          <w:tcPr>
            <w:tcW w:w="3180" w:type="dxa"/>
            <w:tcMar>
              <w:top w:w="0" w:type="dxa"/>
              <w:bottom w:w="0" w:type="dxa"/>
            </w:tcMar>
            <w:vAlign w:val="center"/>
          </w:tcPr>
          <w:p w14:paraId="0F305796" w14:textId="77777777" w:rsidR="002660AA" w:rsidRDefault="009B260F">
            <w:pPr>
              <w:keepNext/>
              <w:keepLines/>
              <w:spacing w:after="0" w:line="240" w:lineRule="auto"/>
            </w:pPr>
            <w:r>
              <w:rPr>
                <w:sz w:val="18"/>
              </w:rPr>
              <w:t>Zakupnine i najamnine</w:t>
            </w:r>
          </w:p>
        </w:tc>
        <w:tc>
          <w:tcPr>
            <w:tcW w:w="700" w:type="dxa"/>
            <w:tcMar>
              <w:top w:w="0" w:type="dxa"/>
              <w:bottom w:w="0" w:type="dxa"/>
            </w:tcMar>
            <w:vAlign w:val="center"/>
          </w:tcPr>
          <w:p w14:paraId="4C9CD94D" w14:textId="77777777" w:rsidR="002660AA" w:rsidRDefault="009B260F">
            <w:pPr>
              <w:keepNext/>
              <w:keepLines/>
              <w:spacing w:after="0" w:line="240" w:lineRule="auto"/>
            </w:pPr>
            <w:r>
              <w:rPr>
                <w:sz w:val="18"/>
              </w:rPr>
              <w:t>3235</w:t>
            </w:r>
          </w:p>
        </w:tc>
        <w:tc>
          <w:tcPr>
            <w:tcW w:w="1860" w:type="dxa"/>
            <w:tcMar>
              <w:top w:w="0" w:type="dxa"/>
              <w:bottom w:w="0" w:type="dxa"/>
            </w:tcMar>
            <w:vAlign w:val="center"/>
          </w:tcPr>
          <w:p w14:paraId="38494793" w14:textId="77777777" w:rsidR="002660AA" w:rsidRDefault="009B260F">
            <w:pPr>
              <w:keepNext/>
              <w:keepLines/>
              <w:spacing w:after="0" w:line="240" w:lineRule="auto"/>
              <w:jc w:val="right"/>
            </w:pPr>
            <w:r>
              <w:rPr>
                <w:sz w:val="18"/>
              </w:rPr>
              <w:t>965.778,40</w:t>
            </w:r>
          </w:p>
        </w:tc>
        <w:tc>
          <w:tcPr>
            <w:tcW w:w="1860" w:type="dxa"/>
            <w:tcMar>
              <w:top w:w="0" w:type="dxa"/>
              <w:bottom w:w="0" w:type="dxa"/>
            </w:tcMar>
            <w:vAlign w:val="center"/>
          </w:tcPr>
          <w:p w14:paraId="6E4B9BC1" w14:textId="77777777" w:rsidR="002660AA" w:rsidRDefault="009B260F">
            <w:pPr>
              <w:keepNext/>
              <w:keepLines/>
              <w:spacing w:after="0" w:line="240" w:lineRule="auto"/>
              <w:jc w:val="right"/>
            </w:pPr>
            <w:r>
              <w:rPr>
                <w:sz w:val="18"/>
              </w:rPr>
              <w:t>1.167.555,24</w:t>
            </w:r>
          </w:p>
        </w:tc>
        <w:tc>
          <w:tcPr>
            <w:tcW w:w="700" w:type="dxa"/>
            <w:tcMar>
              <w:top w:w="0" w:type="dxa"/>
              <w:bottom w:w="0" w:type="dxa"/>
            </w:tcMar>
            <w:vAlign w:val="center"/>
          </w:tcPr>
          <w:p w14:paraId="65A334A5" w14:textId="77777777" w:rsidR="002660AA" w:rsidRDefault="009B260F">
            <w:pPr>
              <w:keepNext/>
              <w:keepLines/>
              <w:spacing w:after="0" w:line="240" w:lineRule="auto"/>
              <w:jc w:val="right"/>
            </w:pPr>
            <w:r>
              <w:rPr>
                <w:sz w:val="18"/>
              </w:rPr>
              <w:t>120,9</w:t>
            </w:r>
          </w:p>
        </w:tc>
      </w:tr>
    </w:tbl>
    <w:p w14:paraId="25C2DBF2" w14:textId="77777777" w:rsidR="002660AA" w:rsidRDefault="002660AA">
      <w:pPr>
        <w:spacing w:after="0"/>
      </w:pPr>
    </w:p>
    <w:p w14:paraId="3F7C9DEB" w14:textId="77777777" w:rsidR="002660AA" w:rsidRDefault="009B260F">
      <w:r>
        <w:t>Uzrok velikom rastu je veći trošak najamnine gimnazije koja se plaća modelom JPP. Naime, ugovorena je mjesečna  najamnina uz korekciju te ugovorene najamnine po utvrđenoj formuli  koja koristi podatke indexa potrošačkih cijena i srednjeg tečaja EUR-a, baznog mjeseca i godine- 04/2006 i te podatke  tekućeg mjeseca i godine za koji Tehnika  SPV d.o.o. ispostavlja račun. </w:t>
      </w:r>
    </w:p>
    <w:p w14:paraId="2AC31365" w14:textId="77777777" w:rsidR="002660AA" w:rsidRDefault="002660AA"/>
    <w:p w14:paraId="18CBC70F" w14:textId="77777777" w:rsidR="002660AA" w:rsidRDefault="009B260F">
      <w:pPr>
        <w:keepNext/>
        <w:spacing w:line="240" w:lineRule="auto"/>
        <w:jc w:val="center"/>
      </w:pPr>
      <w:r>
        <w:rPr>
          <w:sz w:val="28"/>
        </w:rPr>
        <w:t>Bilješka 44.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E9C20C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A05B3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ED86C35"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FBBE03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595188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3DA297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37585D6" w14:textId="77777777" w:rsidR="002660AA" w:rsidRDefault="009B260F">
            <w:pPr>
              <w:keepNext/>
              <w:keepLines/>
              <w:spacing w:after="0" w:line="240" w:lineRule="auto"/>
              <w:jc w:val="center"/>
            </w:pPr>
            <w:r>
              <w:rPr>
                <w:b/>
                <w:sz w:val="18"/>
              </w:rPr>
              <w:t>Indeks (%)</w:t>
            </w:r>
          </w:p>
        </w:tc>
      </w:tr>
      <w:tr w:rsidR="002660AA" w14:paraId="5245804D" w14:textId="77777777">
        <w:tblPrEx>
          <w:tblCellMar>
            <w:top w:w="0" w:type="dxa"/>
            <w:bottom w:w="0" w:type="dxa"/>
          </w:tblCellMar>
        </w:tblPrEx>
        <w:trPr>
          <w:cantSplit/>
          <w:trHeight w:val="560"/>
        </w:trPr>
        <w:tc>
          <w:tcPr>
            <w:tcW w:w="700" w:type="dxa"/>
            <w:tcMar>
              <w:top w:w="0" w:type="dxa"/>
              <w:bottom w:w="0" w:type="dxa"/>
            </w:tcMar>
            <w:vAlign w:val="center"/>
          </w:tcPr>
          <w:p w14:paraId="76A281C7" w14:textId="77777777" w:rsidR="002660AA" w:rsidRDefault="009B260F">
            <w:pPr>
              <w:keepNext/>
              <w:keepLines/>
              <w:spacing w:after="0" w:line="240" w:lineRule="auto"/>
            </w:pPr>
            <w:r>
              <w:rPr>
                <w:sz w:val="18"/>
              </w:rPr>
              <w:t>3236</w:t>
            </w:r>
          </w:p>
        </w:tc>
        <w:tc>
          <w:tcPr>
            <w:tcW w:w="3180" w:type="dxa"/>
            <w:tcMar>
              <w:top w:w="0" w:type="dxa"/>
              <w:bottom w:w="0" w:type="dxa"/>
            </w:tcMar>
            <w:vAlign w:val="center"/>
          </w:tcPr>
          <w:p w14:paraId="5359A980" w14:textId="77777777" w:rsidR="002660AA" w:rsidRDefault="009B260F">
            <w:pPr>
              <w:keepNext/>
              <w:keepLines/>
              <w:spacing w:after="0" w:line="240" w:lineRule="auto"/>
            </w:pPr>
            <w:r>
              <w:rPr>
                <w:sz w:val="18"/>
              </w:rPr>
              <w:t>Zdravstvene i veterinarske usluge</w:t>
            </w:r>
          </w:p>
        </w:tc>
        <w:tc>
          <w:tcPr>
            <w:tcW w:w="700" w:type="dxa"/>
            <w:tcMar>
              <w:top w:w="0" w:type="dxa"/>
              <w:bottom w:w="0" w:type="dxa"/>
            </w:tcMar>
            <w:vAlign w:val="center"/>
          </w:tcPr>
          <w:p w14:paraId="31C8773B" w14:textId="77777777" w:rsidR="002660AA" w:rsidRDefault="009B260F">
            <w:pPr>
              <w:keepNext/>
              <w:keepLines/>
              <w:spacing w:after="0" w:line="240" w:lineRule="auto"/>
            </w:pPr>
            <w:r>
              <w:rPr>
                <w:sz w:val="18"/>
              </w:rPr>
              <w:t>3236</w:t>
            </w:r>
          </w:p>
        </w:tc>
        <w:tc>
          <w:tcPr>
            <w:tcW w:w="1860" w:type="dxa"/>
            <w:tcMar>
              <w:top w:w="0" w:type="dxa"/>
              <w:bottom w:w="0" w:type="dxa"/>
            </w:tcMar>
            <w:vAlign w:val="center"/>
          </w:tcPr>
          <w:p w14:paraId="7292E334" w14:textId="77777777" w:rsidR="002660AA" w:rsidRDefault="009B260F">
            <w:pPr>
              <w:keepNext/>
              <w:keepLines/>
              <w:spacing w:after="0" w:line="240" w:lineRule="auto"/>
              <w:jc w:val="right"/>
            </w:pPr>
            <w:r>
              <w:rPr>
                <w:sz w:val="18"/>
              </w:rPr>
              <w:t>163.419,38</w:t>
            </w:r>
          </w:p>
        </w:tc>
        <w:tc>
          <w:tcPr>
            <w:tcW w:w="1860" w:type="dxa"/>
            <w:tcMar>
              <w:top w:w="0" w:type="dxa"/>
              <w:bottom w:w="0" w:type="dxa"/>
            </w:tcMar>
            <w:vAlign w:val="center"/>
          </w:tcPr>
          <w:p w14:paraId="08233AC1" w14:textId="77777777" w:rsidR="002660AA" w:rsidRDefault="009B260F">
            <w:pPr>
              <w:keepNext/>
              <w:keepLines/>
              <w:spacing w:after="0" w:line="240" w:lineRule="auto"/>
              <w:jc w:val="right"/>
            </w:pPr>
            <w:r>
              <w:rPr>
                <w:sz w:val="18"/>
              </w:rPr>
              <w:t>191.081,08</w:t>
            </w:r>
          </w:p>
        </w:tc>
        <w:tc>
          <w:tcPr>
            <w:tcW w:w="700" w:type="dxa"/>
            <w:tcMar>
              <w:top w:w="0" w:type="dxa"/>
              <w:bottom w:w="0" w:type="dxa"/>
            </w:tcMar>
            <w:vAlign w:val="center"/>
          </w:tcPr>
          <w:p w14:paraId="4A91B124" w14:textId="77777777" w:rsidR="002660AA" w:rsidRDefault="009B260F">
            <w:pPr>
              <w:keepNext/>
              <w:keepLines/>
              <w:spacing w:after="0" w:line="240" w:lineRule="auto"/>
              <w:jc w:val="right"/>
            </w:pPr>
            <w:r>
              <w:rPr>
                <w:sz w:val="18"/>
              </w:rPr>
              <w:t>116,9</w:t>
            </w:r>
          </w:p>
        </w:tc>
      </w:tr>
    </w:tbl>
    <w:p w14:paraId="4F57FC16" w14:textId="77777777" w:rsidR="002660AA" w:rsidRDefault="002660AA">
      <w:pPr>
        <w:spacing w:after="0"/>
      </w:pPr>
    </w:p>
    <w:p w14:paraId="7D6ECA54" w14:textId="77777777" w:rsidR="002660AA" w:rsidRDefault="009B260F">
      <w:r>
        <w:t>Riječ je o većoj realizaciji u sklopu aktivnosti „Veterinarski poslovi-hvatanje, azil“.</w:t>
      </w:r>
    </w:p>
    <w:p w14:paraId="1E54FFC3" w14:textId="77777777" w:rsidR="002660AA" w:rsidRDefault="002660AA"/>
    <w:p w14:paraId="3DE4B06F" w14:textId="77777777" w:rsidR="002660AA" w:rsidRDefault="009B260F">
      <w:pPr>
        <w:keepNext/>
        <w:spacing w:line="240" w:lineRule="auto"/>
        <w:jc w:val="center"/>
      </w:pPr>
      <w:r>
        <w:rPr>
          <w:sz w:val="28"/>
        </w:rPr>
        <w:t>Bilješka 45.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07A7E2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9516EF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419B42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920C9C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9EABFE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DD1A3A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E7F9B6C" w14:textId="77777777" w:rsidR="002660AA" w:rsidRDefault="009B260F">
            <w:pPr>
              <w:keepNext/>
              <w:keepLines/>
              <w:spacing w:after="0" w:line="240" w:lineRule="auto"/>
              <w:jc w:val="center"/>
            </w:pPr>
            <w:r>
              <w:rPr>
                <w:b/>
                <w:sz w:val="18"/>
              </w:rPr>
              <w:t>Indeks (%)</w:t>
            </w:r>
          </w:p>
        </w:tc>
      </w:tr>
      <w:tr w:rsidR="002660AA" w14:paraId="17DA0901" w14:textId="77777777">
        <w:tblPrEx>
          <w:tblCellMar>
            <w:top w:w="0" w:type="dxa"/>
            <w:bottom w:w="0" w:type="dxa"/>
          </w:tblCellMar>
        </w:tblPrEx>
        <w:trPr>
          <w:cantSplit/>
          <w:trHeight w:val="560"/>
        </w:trPr>
        <w:tc>
          <w:tcPr>
            <w:tcW w:w="700" w:type="dxa"/>
            <w:tcMar>
              <w:top w:w="0" w:type="dxa"/>
              <w:bottom w:w="0" w:type="dxa"/>
            </w:tcMar>
            <w:vAlign w:val="center"/>
          </w:tcPr>
          <w:p w14:paraId="6645E0F3" w14:textId="77777777" w:rsidR="002660AA" w:rsidRDefault="009B260F">
            <w:pPr>
              <w:keepNext/>
              <w:keepLines/>
              <w:spacing w:after="0" w:line="240" w:lineRule="auto"/>
            </w:pPr>
            <w:r>
              <w:rPr>
                <w:sz w:val="18"/>
              </w:rPr>
              <w:t>3237</w:t>
            </w:r>
          </w:p>
        </w:tc>
        <w:tc>
          <w:tcPr>
            <w:tcW w:w="3180" w:type="dxa"/>
            <w:tcMar>
              <w:top w:w="0" w:type="dxa"/>
              <w:bottom w:w="0" w:type="dxa"/>
            </w:tcMar>
            <w:vAlign w:val="center"/>
          </w:tcPr>
          <w:p w14:paraId="21D3BB1F" w14:textId="77777777" w:rsidR="002660AA" w:rsidRDefault="009B260F">
            <w:pPr>
              <w:keepNext/>
              <w:keepLines/>
              <w:spacing w:after="0" w:line="240" w:lineRule="auto"/>
            </w:pPr>
            <w:r>
              <w:rPr>
                <w:sz w:val="18"/>
              </w:rPr>
              <w:t>Intelektualne i osobne usluge</w:t>
            </w:r>
          </w:p>
        </w:tc>
        <w:tc>
          <w:tcPr>
            <w:tcW w:w="700" w:type="dxa"/>
            <w:tcMar>
              <w:top w:w="0" w:type="dxa"/>
              <w:bottom w:w="0" w:type="dxa"/>
            </w:tcMar>
            <w:vAlign w:val="center"/>
          </w:tcPr>
          <w:p w14:paraId="52BE5CDE" w14:textId="77777777" w:rsidR="002660AA" w:rsidRDefault="009B260F">
            <w:pPr>
              <w:keepNext/>
              <w:keepLines/>
              <w:spacing w:after="0" w:line="240" w:lineRule="auto"/>
            </w:pPr>
            <w:r>
              <w:rPr>
                <w:sz w:val="18"/>
              </w:rPr>
              <w:t>3237</w:t>
            </w:r>
          </w:p>
        </w:tc>
        <w:tc>
          <w:tcPr>
            <w:tcW w:w="1860" w:type="dxa"/>
            <w:tcMar>
              <w:top w:w="0" w:type="dxa"/>
              <w:bottom w:w="0" w:type="dxa"/>
            </w:tcMar>
            <w:vAlign w:val="center"/>
          </w:tcPr>
          <w:p w14:paraId="6BFD8ADC" w14:textId="77777777" w:rsidR="002660AA" w:rsidRDefault="009B260F">
            <w:pPr>
              <w:keepNext/>
              <w:keepLines/>
              <w:spacing w:after="0" w:line="240" w:lineRule="auto"/>
              <w:jc w:val="right"/>
            </w:pPr>
            <w:r>
              <w:rPr>
                <w:sz w:val="18"/>
              </w:rPr>
              <w:t>382.757,93</w:t>
            </w:r>
          </w:p>
        </w:tc>
        <w:tc>
          <w:tcPr>
            <w:tcW w:w="1860" w:type="dxa"/>
            <w:tcMar>
              <w:top w:w="0" w:type="dxa"/>
              <w:bottom w:w="0" w:type="dxa"/>
            </w:tcMar>
            <w:vAlign w:val="center"/>
          </w:tcPr>
          <w:p w14:paraId="78C50E6F" w14:textId="77777777" w:rsidR="002660AA" w:rsidRDefault="009B260F">
            <w:pPr>
              <w:keepNext/>
              <w:keepLines/>
              <w:spacing w:after="0" w:line="240" w:lineRule="auto"/>
              <w:jc w:val="right"/>
            </w:pPr>
            <w:r>
              <w:rPr>
                <w:sz w:val="18"/>
              </w:rPr>
              <w:t>569.893,30</w:t>
            </w:r>
          </w:p>
        </w:tc>
        <w:tc>
          <w:tcPr>
            <w:tcW w:w="700" w:type="dxa"/>
            <w:tcMar>
              <w:top w:w="0" w:type="dxa"/>
              <w:bottom w:w="0" w:type="dxa"/>
            </w:tcMar>
            <w:vAlign w:val="center"/>
          </w:tcPr>
          <w:p w14:paraId="3AC7A38C" w14:textId="77777777" w:rsidR="002660AA" w:rsidRDefault="009B260F">
            <w:pPr>
              <w:keepNext/>
              <w:keepLines/>
              <w:spacing w:after="0" w:line="240" w:lineRule="auto"/>
              <w:jc w:val="right"/>
            </w:pPr>
            <w:r>
              <w:rPr>
                <w:sz w:val="18"/>
              </w:rPr>
              <w:t>148,9</w:t>
            </w:r>
          </w:p>
        </w:tc>
      </w:tr>
    </w:tbl>
    <w:p w14:paraId="2298285B" w14:textId="77777777" w:rsidR="002660AA" w:rsidRDefault="002660AA">
      <w:pPr>
        <w:spacing w:after="0"/>
      </w:pPr>
    </w:p>
    <w:p w14:paraId="4250FF5A" w14:textId="77777777" w:rsidR="002660AA" w:rsidRDefault="009B260F">
      <w:r>
        <w:t>Značajni porast bilježi se radi provođenja aktivnosti u sklopu EU projekata u provedbi i to "Izgradnja Sortirnice u Herešinu" te "Građenje i opremanje kompleksa tržnice i polivalentnog centra - ITU" (proveden arhitektonsko urbanistički natječaj).</w:t>
      </w:r>
    </w:p>
    <w:p w14:paraId="386106CC" w14:textId="77777777" w:rsidR="002660AA" w:rsidRDefault="002660AA"/>
    <w:p w14:paraId="7D4E978C" w14:textId="77777777" w:rsidR="002660AA" w:rsidRDefault="009B260F">
      <w:pPr>
        <w:keepNext/>
        <w:spacing w:line="240" w:lineRule="auto"/>
        <w:jc w:val="center"/>
      </w:pPr>
      <w:r>
        <w:rPr>
          <w:sz w:val="28"/>
        </w:rPr>
        <w:t>Bilješka 46.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63BB39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B18D51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2B3975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EC0CE9A"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5C2AB1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829325E"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F7E2AC6" w14:textId="77777777" w:rsidR="002660AA" w:rsidRDefault="009B260F">
            <w:pPr>
              <w:keepNext/>
              <w:keepLines/>
              <w:spacing w:after="0" w:line="240" w:lineRule="auto"/>
              <w:jc w:val="center"/>
            </w:pPr>
            <w:r>
              <w:rPr>
                <w:b/>
                <w:sz w:val="18"/>
              </w:rPr>
              <w:t>Indeks (%)</w:t>
            </w:r>
          </w:p>
        </w:tc>
      </w:tr>
      <w:tr w:rsidR="002660AA" w14:paraId="5E8EA165" w14:textId="77777777">
        <w:tblPrEx>
          <w:tblCellMar>
            <w:top w:w="0" w:type="dxa"/>
            <w:bottom w:w="0" w:type="dxa"/>
          </w:tblCellMar>
        </w:tblPrEx>
        <w:trPr>
          <w:cantSplit/>
          <w:trHeight w:val="560"/>
        </w:trPr>
        <w:tc>
          <w:tcPr>
            <w:tcW w:w="700" w:type="dxa"/>
            <w:tcMar>
              <w:top w:w="0" w:type="dxa"/>
              <w:bottom w:w="0" w:type="dxa"/>
            </w:tcMar>
            <w:vAlign w:val="center"/>
          </w:tcPr>
          <w:p w14:paraId="6B666506" w14:textId="77777777" w:rsidR="002660AA" w:rsidRDefault="009B260F">
            <w:pPr>
              <w:keepNext/>
              <w:keepLines/>
              <w:spacing w:after="0" w:line="240" w:lineRule="auto"/>
            </w:pPr>
            <w:r>
              <w:rPr>
                <w:sz w:val="18"/>
              </w:rPr>
              <w:t>3238</w:t>
            </w:r>
          </w:p>
        </w:tc>
        <w:tc>
          <w:tcPr>
            <w:tcW w:w="3180" w:type="dxa"/>
            <w:tcMar>
              <w:top w:w="0" w:type="dxa"/>
              <w:bottom w:w="0" w:type="dxa"/>
            </w:tcMar>
            <w:vAlign w:val="center"/>
          </w:tcPr>
          <w:p w14:paraId="523E9309" w14:textId="77777777" w:rsidR="002660AA" w:rsidRDefault="009B260F">
            <w:pPr>
              <w:keepNext/>
              <w:keepLines/>
              <w:spacing w:after="0" w:line="240" w:lineRule="auto"/>
            </w:pPr>
            <w:r>
              <w:rPr>
                <w:sz w:val="18"/>
              </w:rPr>
              <w:t>Računalne usluge</w:t>
            </w:r>
          </w:p>
        </w:tc>
        <w:tc>
          <w:tcPr>
            <w:tcW w:w="700" w:type="dxa"/>
            <w:tcMar>
              <w:top w:w="0" w:type="dxa"/>
              <w:bottom w:w="0" w:type="dxa"/>
            </w:tcMar>
            <w:vAlign w:val="center"/>
          </w:tcPr>
          <w:p w14:paraId="459BA3D9" w14:textId="77777777" w:rsidR="002660AA" w:rsidRDefault="009B260F">
            <w:pPr>
              <w:keepNext/>
              <w:keepLines/>
              <w:spacing w:after="0" w:line="240" w:lineRule="auto"/>
            </w:pPr>
            <w:r>
              <w:rPr>
                <w:sz w:val="18"/>
              </w:rPr>
              <w:t>3238</w:t>
            </w:r>
          </w:p>
        </w:tc>
        <w:tc>
          <w:tcPr>
            <w:tcW w:w="1860" w:type="dxa"/>
            <w:tcMar>
              <w:top w:w="0" w:type="dxa"/>
              <w:bottom w:w="0" w:type="dxa"/>
            </w:tcMar>
            <w:vAlign w:val="center"/>
          </w:tcPr>
          <w:p w14:paraId="7EE9A507" w14:textId="77777777" w:rsidR="002660AA" w:rsidRDefault="009B260F">
            <w:pPr>
              <w:keepNext/>
              <w:keepLines/>
              <w:spacing w:after="0" w:line="240" w:lineRule="auto"/>
              <w:jc w:val="right"/>
            </w:pPr>
            <w:r>
              <w:rPr>
                <w:sz w:val="18"/>
              </w:rPr>
              <w:t>75.137,23</w:t>
            </w:r>
          </w:p>
        </w:tc>
        <w:tc>
          <w:tcPr>
            <w:tcW w:w="1860" w:type="dxa"/>
            <w:tcMar>
              <w:top w:w="0" w:type="dxa"/>
              <w:bottom w:w="0" w:type="dxa"/>
            </w:tcMar>
            <w:vAlign w:val="center"/>
          </w:tcPr>
          <w:p w14:paraId="646CFEA4" w14:textId="77777777" w:rsidR="002660AA" w:rsidRDefault="009B260F">
            <w:pPr>
              <w:keepNext/>
              <w:keepLines/>
              <w:spacing w:after="0" w:line="240" w:lineRule="auto"/>
              <w:jc w:val="right"/>
            </w:pPr>
            <w:r>
              <w:rPr>
                <w:sz w:val="18"/>
              </w:rPr>
              <w:t>90.574,19</w:t>
            </w:r>
          </w:p>
        </w:tc>
        <w:tc>
          <w:tcPr>
            <w:tcW w:w="700" w:type="dxa"/>
            <w:tcMar>
              <w:top w:w="0" w:type="dxa"/>
              <w:bottom w:w="0" w:type="dxa"/>
            </w:tcMar>
            <w:vAlign w:val="center"/>
          </w:tcPr>
          <w:p w14:paraId="4471D895" w14:textId="77777777" w:rsidR="002660AA" w:rsidRDefault="009B260F">
            <w:pPr>
              <w:keepNext/>
              <w:keepLines/>
              <w:spacing w:after="0" w:line="240" w:lineRule="auto"/>
              <w:jc w:val="right"/>
            </w:pPr>
            <w:r>
              <w:rPr>
                <w:sz w:val="18"/>
              </w:rPr>
              <w:t>120,5</w:t>
            </w:r>
          </w:p>
        </w:tc>
      </w:tr>
    </w:tbl>
    <w:p w14:paraId="20D294A8" w14:textId="77777777" w:rsidR="002660AA" w:rsidRDefault="002660AA">
      <w:pPr>
        <w:spacing w:after="0"/>
      </w:pPr>
    </w:p>
    <w:p w14:paraId="499DB943" w14:textId="77777777" w:rsidR="002660AA" w:rsidRDefault="009B260F">
      <w:r>
        <w:t>Do porasta je došlo raadi nadogradnji sustava internog ERP-a sa novim funkcionalnostima, mogućnosti slanja uplatnica/dokumenata emailom i aktivacije rentabilnosti nekrenina.</w:t>
      </w:r>
    </w:p>
    <w:p w14:paraId="42D91D13" w14:textId="77777777" w:rsidR="002660AA" w:rsidRDefault="002660AA"/>
    <w:p w14:paraId="1E3D44A9" w14:textId="77777777" w:rsidR="002660AA" w:rsidRDefault="009B260F">
      <w:pPr>
        <w:keepNext/>
        <w:spacing w:line="240" w:lineRule="auto"/>
        <w:jc w:val="center"/>
      </w:pPr>
      <w:r>
        <w:rPr>
          <w:sz w:val="28"/>
        </w:rPr>
        <w:t>Bilješka 47.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83BEB9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F7FCA4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480F40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21F1E7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EDFA3B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498E5E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8B94FED" w14:textId="77777777" w:rsidR="002660AA" w:rsidRDefault="009B260F">
            <w:pPr>
              <w:keepNext/>
              <w:keepLines/>
              <w:spacing w:after="0" w:line="240" w:lineRule="auto"/>
              <w:jc w:val="center"/>
            </w:pPr>
            <w:r>
              <w:rPr>
                <w:b/>
                <w:sz w:val="18"/>
              </w:rPr>
              <w:t>Indeks (%)</w:t>
            </w:r>
          </w:p>
        </w:tc>
      </w:tr>
      <w:tr w:rsidR="002660AA" w14:paraId="21E2873A" w14:textId="77777777">
        <w:tblPrEx>
          <w:tblCellMar>
            <w:top w:w="0" w:type="dxa"/>
            <w:bottom w:w="0" w:type="dxa"/>
          </w:tblCellMar>
        </w:tblPrEx>
        <w:trPr>
          <w:cantSplit/>
          <w:trHeight w:val="560"/>
        </w:trPr>
        <w:tc>
          <w:tcPr>
            <w:tcW w:w="700" w:type="dxa"/>
            <w:tcMar>
              <w:top w:w="0" w:type="dxa"/>
              <w:bottom w:w="0" w:type="dxa"/>
            </w:tcMar>
            <w:vAlign w:val="center"/>
          </w:tcPr>
          <w:p w14:paraId="3DCB1944" w14:textId="77777777" w:rsidR="002660AA" w:rsidRDefault="009B260F">
            <w:pPr>
              <w:keepNext/>
              <w:keepLines/>
              <w:spacing w:after="0" w:line="240" w:lineRule="auto"/>
            </w:pPr>
            <w:r>
              <w:rPr>
                <w:sz w:val="18"/>
              </w:rPr>
              <w:t>3239</w:t>
            </w:r>
          </w:p>
        </w:tc>
        <w:tc>
          <w:tcPr>
            <w:tcW w:w="3180" w:type="dxa"/>
            <w:tcMar>
              <w:top w:w="0" w:type="dxa"/>
              <w:bottom w:w="0" w:type="dxa"/>
            </w:tcMar>
            <w:vAlign w:val="center"/>
          </w:tcPr>
          <w:p w14:paraId="33950BC3" w14:textId="77777777" w:rsidR="002660AA" w:rsidRDefault="009B260F">
            <w:pPr>
              <w:keepNext/>
              <w:keepLines/>
              <w:spacing w:after="0" w:line="240" w:lineRule="auto"/>
            </w:pPr>
            <w:r>
              <w:rPr>
                <w:sz w:val="18"/>
              </w:rPr>
              <w:t>Ostale usluge</w:t>
            </w:r>
          </w:p>
        </w:tc>
        <w:tc>
          <w:tcPr>
            <w:tcW w:w="700" w:type="dxa"/>
            <w:tcMar>
              <w:top w:w="0" w:type="dxa"/>
              <w:bottom w:w="0" w:type="dxa"/>
            </w:tcMar>
            <w:vAlign w:val="center"/>
          </w:tcPr>
          <w:p w14:paraId="77F10B4F" w14:textId="77777777" w:rsidR="002660AA" w:rsidRDefault="009B260F">
            <w:pPr>
              <w:keepNext/>
              <w:keepLines/>
              <w:spacing w:after="0" w:line="240" w:lineRule="auto"/>
            </w:pPr>
            <w:r>
              <w:rPr>
                <w:sz w:val="18"/>
              </w:rPr>
              <w:t>3239</w:t>
            </w:r>
          </w:p>
        </w:tc>
        <w:tc>
          <w:tcPr>
            <w:tcW w:w="1860" w:type="dxa"/>
            <w:tcMar>
              <w:top w:w="0" w:type="dxa"/>
              <w:bottom w:w="0" w:type="dxa"/>
            </w:tcMar>
            <w:vAlign w:val="center"/>
          </w:tcPr>
          <w:p w14:paraId="754BBCDF" w14:textId="77777777" w:rsidR="002660AA" w:rsidRDefault="009B260F">
            <w:pPr>
              <w:keepNext/>
              <w:keepLines/>
              <w:spacing w:after="0" w:line="240" w:lineRule="auto"/>
              <w:jc w:val="right"/>
            </w:pPr>
            <w:r>
              <w:rPr>
                <w:sz w:val="18"/>
              </w:rPr>
              <w:t>471.612,05</w:t>
            </w:r>
          </w:p>
        </w:tc>
        <w:tc>
          <w:tcPr>
            <w:tcW w:w="1860" w:type="dxa"/>
            <w:tcMar>
              <w:top w:w="0" w:type="dxa"/>
              <w:bottom w:w="0" w:type="dxa"/>
            </w:tcMar>
            <w:vAlign w:val="center"/>
          </w:tcPr>
          <w:p w14:paraId="7599BBDB" w14:textId="77777777" w:rsidR="002660AA" w:rsidRDefault="009B260F">
            <w:pPr>
              <w:keepNext/>
              <w:keepLines/>
              <w:spacing w:after="0" w:line="240" w:lineRule="auto"/>
              <w:jc w:val="right"/>
            </w:pPr>
            <w:r>
              <w:rPr>
                <w:sz w:val="18"/>
              </w:rPr>
              <w:t>588.288,76</w:t>
            </w:r>
          </w:p>
        </w:tc>
        <w:tc>
          <w:tcPr>
            <w:tcW w:w="700" w:type="dxa"/>
            <w:tcMar>
              <w:top w:w="0" w:type="dxa"/>
              <w:bottom w:w="0" w:type="dxa"/>
            </w:tcMar>
            <w:vAlign w:val="center"/>
          </w:tcPr>
          <w:p w14:paraId="25C8C2B6" w14:textId="77777777" w:rsidR="002660AA" w:rsidRDefault="009B260F">
            <w:pPr>
              <w:keepNext/>
              <w:keepLines/>
              <w:spacing w:after="0" w:line="240" w:lineRule="auto"/>
              <w:jc w:val="right"/>
            </w:pPr>
            <w:r>
              <w:rPr>
                <w:sz w:val="18"/>
              </w:rPr>
              <w:t>124,7</w:t>
            </w:r>
          </w:p>
        </w:tc>
      </w:tr>
    </w:tbl>
    <w:p w14:paraId="0A6A7E03" w14:textId="77777777" w:rsidR="002660AA" w:rsidRDefault="002660AA">
      <w:pPr>
        <w:spacing w:after="0"/>
      </w:pPr>
    </w:p>
    <w:p w14:paraId="3270E693" w14:textId="77777777" w:rsidR="002660AA" w:rsidRDefault="009B260F">
      <w:r>
        <w:t>Realizirana je usluge zaštite magistralnog vodovoda što je dovelo do povećanja stavke. </w:t>
      </w:r>
    </w:p>
    <w:p w14:paraId="304A52B2" w14:textId="77777777" w:rsidR="002660AA" w:rsidRDefault="002660AA"/>
    <w:p w14:paraId="2E534078" w14:textId="77777777" w:rsidR="002660AA" w:rsidRDefault="009B260F">
      <w:pPr>
        <w:keepNext/>
        <w:spacing w:line="240" w:lineRule="auto"/>
        <w:jc w:val="center"/>
      </w:pPr>
      <w:r>
        <w:rPr>
          <w:sz w:val="28"/>
        </w:rPr>
        <w:t>Bilješka 48.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549735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ADD123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E107A8F"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93A8AB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5E8E60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2CE4A86"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F0DF3AA" w14:textId="77777777" w:rsidR="002660AA" w:rsidRDefault="009B260F">
            <w:pPr>
              <w:keepNext/>
              <w:keepLines/>
              <w:spacing w:after="0" w:line="240" w:lineRule="auto"/>
              <w:jc w:val="center"/>
            </w:pPr>
            <w:r>
              <w:rPr>
                <w:b/>
                <w:sz w:val="18"/>
              </w:rPr>
              <w:t>Indeks (%)</w:t>
            </w:r>
          </w:p>
        </w:tc>
      </w:tr>
      <w:tr w:rsidR="002660AA" w14:paraId="582C0EF4" w14:textId="77777777">
        <w:tblPrEx>
          <w:tblCellMar>
            <w:top w:w="0" w:type="dxa"/>
            <w:bottom w:w="0" w:type="dxa"/>
          </w:tblCellMar>
        </w:tblPrEx>
        <w:trPr>
          <w:cantSplit/>
          <w:trHeight w:val="560"/>
        </w:trPr>
        <w:tc>
          <w:tcPr>
            <w:tcW w:w="700" w:type="dxa"/>
            <w:tcMar>
              <w:top w:w="0" w:type="dxa"/>
              <w:bottom w:w="0" w:type="dxa"/>
            </w:tcMar>
            <w:vAlign w:val="center"/>
          </w:tcPr>
          <w:p w14:paraId="1DDA7506" w14:textId="77777777" w:rsidR="002660AA" w:rsidRDefault="009B260F">
            <w:pPr>
              <w:keepNext/>
              <w:keepLines/>
              <w:spacing w:after="0" w:line="240" w:lineRule="auto"/>
            </w:pPr>
            <w:r>
              <w:rPr>
                <w:sz w:val="18"/>
              </w:rPr>
              <w:t>3291</w:t>
            </w:r>
          </w:p>
        </w:tc>
        <w:tc>
          <w:tcPr>
            <w:tcW w:w="3180" w:type="dxa"/>
            <w:tcMar>
              <w:top w:w="0" w:type="dxa"/>
              <w:bottom w:w="0" w:type="dxa"/>
            </w:tcMar>
            <w:vAlign w:val="center"/>
          </w:tcPr>
          <w:p w14:paraId="60C82572" w14:textId="77777777" w:rsidR="002660AA" w:rsidRDefault="009B260F">
            <w:pPr>
              <w:keepNext/>
              <w:keepLines/>
              <w:spacing w:after="0" w:line="240" w:lineRule="auto"/>
            </w:pPr>
            <w:r>
              <w:rPr>
                <w:sz w:val="18"/>
              </w:rPr>
              <w:t>Naknade za rad predstavničkih i izvršnih tijela, povjerenstava i slično</w:t>
            </w:r>
          </w:p>
        </w:tc>
        <w:tc>
          <w:tcPr>
            <w:tcW w:w="700" w:type="dxa"/>
            <w:tcMar>
              <w:top w:w="0" w:type="dxa"/>
              <w:bottom w:w="0" w:type="dxa"/>
            </w:tcMar>
            <w:vAlign w:val="center"/>
          </w:tcPr>
          <w:p w14:paraId="79515E14" w14:textId="77777777" w:rsidR="002660AA" w:rsidRDefault="009B260F">
            <w:pPr>
              <w:keepNext/>
              <w:keepLines/>
              <w:spacing w:after="0" w:line="240" w:lineRule="auto"/>
            </w:pPr>
            <w:r>
              <w:rPr>
                <w:sz w:val="18"/>
              </w:rPr>
              <w:t>3291</w:t>
            </w:r>
          </w:p>
        </w:tc>
        <w:tc>
          <w:tcPr>
            <w:tcW w:w="1860" w:type="dxa"/>
            <w:tcMar>
              <w:top w:w="0" w:type="dxa"/>
              <w:bottom w:w="0" w:type="dxa"/>
            </w:tcMar>
            <w:vAlign w:val="center"/>
          </w:tcPr>
          <w:p w14:paraId="41931309" w14:textId="77777777" w:rsidR="002660AA" w:rsidRDefault="009B260F">
            <w:pPr>
              <w:keepNext/>
              <w:keepLines/>
              <w:spacing w:after="0" w:line="240" w:lineRule="auto"/>
              <w:jc w:val="right"/>
            </w:pPr>
            <w:r>
              <w:rPr>
                <w:sz w:val="18"/>
              </w:rPr>
              <w:t>39.048,17</w:t>
            </w:r>
          </w:p>
        </w:tc>
        <w:tc>
          <w:tcPr>
            <w:tcW w:w="1860" w:type="dxa"/>
            <w:tcMar>
              <w:top w:w="0" w:type="dxa"/>
              <w:bottom w:w="0" w:type="dxa"/>
            </w:tcMar>
            <w:vAlign w:val="center"/>
          </w:tcPr>
          <w:p w14:paraId="424E1E28" w14:textId="77777777" w:rsidR="002660AA" w:rsidRDefault="009B260F">
            <w:pPr>
              <w:keepNext/>
              <w:keepLines/>
              <w:spacing w:after="0" w:line="240" w:lineRule="auto"/>
              <w:jc w:val="right"/>
            </w:pPr>
            <w:r>
              <w:rPr>
                <w:sz w:val="18"/>
              </w:rPr>
              <w:t>557.880,34</w:t>
            </w:r>
          </w:p>
        </w:tc>
        <w:tc>
          <w:tcPr>
            <w:tcW w:w="700" w:type="dxa"/>
            <w:tcMar>
              <w:top w:w="0" w:type="dxa"/>
              <w:bottom w:w="0" w:type="dxa"/>
            </w:tcMar>
            <w:vAlign w:val="center"/>
          </w:tcPr>
          <w:p w14:paraId="49E7AEDC" w14:textId="77777777" w:rsidR="002660AA" w:rsidRDefault="009B260F">
            <w:pPr>
              <w:keepNext/>
              <w:keepLines/>
              <w:spacing w:after="0" w:line="240" w:lineRule="auto"/>
              <w:jc w:val="right"/>
            </w:pPr>
            <w:r>
              <w:rPr>
                <w:sz w:val="18"/>
              </w:rPr>
              <w:t>1428,7</w:t>
            </w:r>
          </w:p>
        </w:tc>
      </w:tr>
    </w:tbl>
    <w:p w14:paraId="2D468919" w14:textId="77777777" w:rsidR="002660AA" w:rsidRDefault="002660AA">
      <w:pPr>
        <w:spacing w:after="0"/>
      </w:pPr>
    </w:p>
    <w:p w14:paraId="0606517D" w14:textId="77777777" w:rsidR="002660AA" w:rsidRDefault="009B260F">
      <w:r>
        <w:t>Do velikog porasta je došlo jer su se tijekom 2025. godine promijenila konta knjiženja naknada za rad povjerenstava prilikom provođenja predsjedničkih izbora (prije se knjižilo na 3237).</w:t>
      </w:r>
    </w:p>
    <w:p w14:paraId="3B70CDE0" w14:textId="77777777" w:rsidR="002660AA" w:rsidRDefault="002660AA"/>
    <w:p w14:paraId="7196DD51" w14:textId="77777777" w:rsidR="002660AA" w:rsidRDefault="009B260F">
      <w:pPr>
        <w:keepNext/>
        <w:spacing w:line="240" w:lineRule="auto"/>
        <w:jc w:val="center"/>
      </w:pPr>
      <w:r>
        <w:rPr>
          <w:sz w:val="28"/>
        </w:rPr>
        <w:t>Bilješka 49.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BAEA9B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3B56F8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2854945"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E5895C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7762E6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BE0350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35E8205" w14:textId="77777777" w:rsidR="002660AA" w:rsidRDefault="009B260F">
            <w:pPr>
              <w:keepNext/>
              <w:keepLines/>
              <w:spacing w:after="0" w:line="240" w:lineRule="auto"/>
              <w:jc w:val="center"/>
            </w:pPr>
            <w:r>
              <w:rPr>
                <w:b/>
                <w:sz w:val="18"/>
              </w:rPr>
              <w:t>Indeks (%)</w:t>
            </w:r>
          </w:p>
        </w:tc>
      </w:tr>
      <w:tr w:rsidR="002660AA" w14:paraId="6C4E1D3F" w14:textId="77777777">
        <w:tblPrEx>
          <w:tblCellMar>
            <w:top w:w="0" w:type="dxa"/>
            <w:bottom w:w="0" w:type="dxa"/>
          </w:tblCellMar>
        </w:tblPrEx>
        <w:trPr>
          <w:cantSplit/>
          <w:trHeight w:val="560"/>
        </w:trPr>
        <w:tc>
          <w:tcPr>
            <w:tcW w:w="700" w:type="dxa"/>
            <w:tcMar>
              <w:top w:w="0" w:type="dxa"/>
              <w:bottom w:w="0" w:type="dxa"/>
            </w:tcMar>
            <w:vAlign w:val="center"/>
          </w:tcPr>
          <w:p w14:paraId="66B0EE20" w14:textId="77777777" w:rsidR="002660AA" w:rsidRDefault="009B260F">
            <w:pPr>
              <w:keepNext/>
              <w:keepLines/>
              <w:spacing w:after="0" w:line="240" w:lineRule="auto"/>
            </w:pPr>
            <w:r>
              <w:rPr>
                <w:sz w:val="18"/>
              </w:rPr>
              <w:t>3292</w:t>
            </w:r>
          </w:p>
        </w:tc>
        <w:tc>
          <w:tcPr>
            <w:tcW w:w="3180" w:type="dxa"/>
            <w:tcMar>
              <w:top w:w="0" w:type="dxa"/>
              <w:bottom w:w="0" w:type="dxa"/>
            </w:tcMar>
            <w:vAlign w:val="center"/>
          </w:tcPr>
          <w:p w14:paraId="2CAC2103" w14:textId="77777777" w:rsidR="002660AA" w:rsidRDefault="009B260F">
            <w:pPr>
              <w:keepNext/>
              <w:keepLines/>
              <w:spacing w:after="0" w:line="240" w:lineRule="auto"/>
            </w:pPr>
            <w:r>
              <w:rPr>
                <w:sz w:val="18"/>
              </w:rPr>
              <w:t>Premije osiguranja</w:t>
            </w:r>
          </w:p>
        </w:tc>
        <w:tc>
          <w:tcPr>
            <w:tcW w:w="700" w:type="dxa"/>
            <w:tcMar>
              <w:top w:w="0" w:type="dxa"/>
              <w:bottom w:w="0" w:type="dxa"/>
            </w:tcMar>
            <w:vAlign w:val="center"/>
          </w:tcPr>
          <w:p w14:paraId="627B2C55" w14:textId="77777777" w:rsidR="002660AA" w:rsidRDefault="009B260F">
            <w:pPr>
              <w:keepNext/>
              <w:keepLines/>
              <w:spacing w:after="0" w:line="240" w:lineRule="auto"/>
            </w:pPr>
            <w:r>
              <w:rPr>
                <w:sz w:val="18"/>
              </w:rPr>
              <w:t>3292</w:t>
            </w:r>
          </w:p>
        </w:tc>
        <w:tc>
          <w:tcPr>
            <w:tcW w:w="1860" w:type="dxa"/>
            <w:tcMar>
              <w:top w:w="0" w:type="dxa"/>
              <w:bottom w:w="0" w:type="dxa"/>
            </w:tcMar>
            <w:vAlign w:val="center"/>
          </w:tcPr>
          <w:p w14:paraId="2A609438" w14:textId="77777777" w:rsidR="002660AA" w:rsidRDefault="009B260F">
            <w:pPr>
              <w:keepNext/>
              <w:keepLines/>
              <w:spacing w:after="0" w:line="240" w:lineRule="auto"/>
              <w:jc w:val="right"/>
            </w:pPr>
            <w:r>
              <w:rPr>
                <w:sz w:val="18"/>
              </w:rPr>
              <w:t>15.951,15</w:t>
            </w:r>
          </w:p>
        </w:tc>
        <w:tc>
          <w:tcPr>
            <w:tcW w:w="1860" w:type="dxa"/>
            <w:tcMar>
              <w:top w:w="0" w:type="dxa"/>
              <w:bottom w:w="0" w:type="dxa"/>
            </w:tcMar>
            <w:vAlign w:val="center"/>
          </w:tcPr>
          <w:p w14:paraId="5622EBEE" w14:textId="77777777" w:rsidR="002660AA" w:rsidRDefault="009B260F">
            <w:pPr>
              <w:keepNext/>
              <w:keepLines/>
              <w:spacing w:after="0" w:line="240" w:lineRule="auto"/>
              <w:jc w:val="right"/>
            </w:pPr>
            <w:r>
              <w:rPr>
                <w:sz w:val="18"/>
              </w:rPr>
              <w:t>18.779,72</w:t>
            </w:r>
          </w:p>
        </w:tc>
        <w:tc>
          <w:tcPr>
            <w:tcW w:w="700" w:type="dxa"/>
            <w:tcMar>
              <w:top w:w="0" w:type="dxa"/>
              <w:bottom w:w="0" w:type="dxa"/>
            </w:tcMar>
            <w:vAlign w:val="center"/>
          </w:tcPr>
          <w:p w14:paraId="14C1DD29" w14:textId="77777777" w:rsidR="002660AA" w:rsidRDefault="009B260F">
            <w:pPr>
              <w:keepNext/>
              <w:keepLines/>
              <w:spacing w:after="0" w:line="240" w:lineRule="auto"/>
              <w:jc w:val="right"/>
            </w:pPr>
            <w:r>
              <w:rPr>
                <w:sz w:val="18"/>
              </w:rPr>
              <w:t>117,7</w:t>
            </w:r>
          </w:p>
        </w:tc>
      </w:tr>
    </w:tbl>
    <w:p w14:paraId="0BC4F24D" w14:textId="77777777" w:rsidR="002660AA" w:rsidRDefault="002660AA">
      <w:pPr>
        <w:spacing w:after="0"/>
      </w:pPr>
    </w:p>
    <w:p w14:paraId="1D90238E" w14:textId="77777777" w:rsidR="002660AA" w:rsidRDefault="009B260F">
      <w:r>
        <w:t>Došlo je do poskupljenja troškova osiguranja koje Grad plaća, uz to plaćene su police osiguranja solarnih panela na osnovnim školama na području grada.</w:t>
      </w:r>
    </w:p>
    <w:p w14:paraId="3DB0BF2D" w14:textId="77777777" w:rsidR="002660AA" w:rsidRDefault="002660AA"/>
    <w:p w14:paraId="40A2EADA" w14:textId="77777777" w:rsidR="002660AA" w:rsidRDefault="009B260F">
      <w:pPr>
        <w:keepNext/>
        <w:spacing w:line="240" w:lineRule="auto"/>
        <w:jc w:val="center"/>
      </w:pPr>
      <w:r>
        <w:rPr>
          <w:sz w:val="28"/>
        </w:rPr>
        <w:t>Bilješka 50.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F79571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5188E4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A180965"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72D575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17C4A7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840C6D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818EE43" w14:textId="77777777" w:rsidR="002660AA" w:rsidRDefault="009B260F">
            <w:pPr>
              <w:keepNext/>
              <w:keepLines/>
              <w:spacing w:after="0" w:line="240" w:lineRule="auto"/>
              <w:jc w:val="center"/>
            </w:pPr>
            <w:r>
              <w:rPr>
                <w:b/>
                <w:sz w:val="18"/>
              </w:rPr>
              <w:t>Indeks (%)</w:t>
            </w:r>
          </w:p>
        </w:tc>
      </w:tr>
      <w:tr w:rsidR="002660AA" w14:paraId="4138F347" w14:textId="77777777">
        <w:tblPrEx>
          <w:tblCellMar>
            <w:top w:w="0" w:type="dxa"/>
            <w:bottom w:w="0" w:type="dxa"/>
          </w:tblCellMar>
        </w:tblPrEx>
        <w:trPr>
          <w:cantSplit/>
          <w:trHeight w:val="560"/>
        </w:trPr>
        <w:tc>
          <w:tcPr>
            <w:tcW w:w="700" w:type="dxa"/>
            <w:tcMar>
              <w:top w:w="0" w:type="dxa"/>
              <w:bottom w:w="0" w:type="dxa"/>
            </w:tcMar>
            <w:vAlign w:val="center"/>
          </w:tcPr>
          <w:p w14:paraId="7D0F8DAF" w14:textId="77777777" w:rsidR="002660AA" w:rsidRDefault="009B260F">
            <w:pPr>
              <w:keepNext/>
              <w:keepLines/>
              <w:spacing w:after="0" w:line="240" w:lineRule="auto"/>
            </w:pPr>
            <w:r>
              <w:rPr>
                <w:sz w:val="18"/>
              </w:rPr>
              <w:t>3293</w:t>
            </w:r>
          </w:p>
        </w:tc>
        <w:tc>
          <w:tcPr>
            <w:tcW w:w="3180" w:type="dxa"/>
            <w:tcMar>
              <w:top w:w="0" w:type="dxa"/>
              <w:bottom w:w="0" w:type="dxa"/>
            </w:tcMar>
            <w:vAlign w:val="center"/>
          </w:tcPr>
          <w:p w14:paraId="58BB5B79" w14:textId="77777777" w:rsidR="002660AA" w:rsidRDefault="009B260F">
            <w:pPr>
              <w:keepNext/>
              <w:keepLines/>
              <w:spacing w:after="0" w:line="240" w:lineRule="auto"/>
            </w:pPr>
            <w:r>
              <w:rPr>
                <w:sz w:val="18"/>
              </w:rPr>
              <w:t>Reprezentacija</w:t>
            </w:r>
          </w:p>
        </w:tc>
        <w:tc>
          <w:tcPr>
            <w:tcW w:w="700" w:type="dxa"/>
            <w:tcMar>
              <w:top w:w="0" w:type="dxa"/>
              <w:bottom w:w="0" w:type="dxa"/>
            </w:tcMar>
            <w:vAlign w:val="center"/>
          </w:tcPr>
          <w:p w14:paraId="26B11630" w14:textId="77777777" w:rsidR="002660AA" w:rsidRDefault="009B260F">
            <w:pPr>
              <w:keepNext/>
              <w:keepLines/>
              <w:spacing w:after="0" w:line="240" w:lineRule="auto"/>
            </w:pPr>
            <w:r>
              <w:rPr>
                <w:sz w:val="18"/>
              </w:rPr>
              <w:t>3293</w:t>
            </w:r>
          </w:p>
        </w:tc>
        <w:tc>
          <w:tcPr>
            <w:tcW w:w="1860" w:type="dxa"/>
            <w:tcMar>
              <w:top w:w="0" w:type="dxa"/>
              <w:bottom w:w="0" w:type="dxa"/>
            </w:tcMar>
            <w:vAlign w:val="center"/>
          </w:tcPr>
          <w:p w14:paraId="72ACF21F" w14:textId="77777777" w:rsidR="002660AA" w:rsidRDefault="009B260F">
            <w:pPr>
              <w:keepNext/>
              <w:keepLines/>
              <w:spacing w:after="0" w:line="240" w:lineRule="auto"/>
              <w:jc w:val="right"/>
            </w:pPr>
            <w:r>
              <w:rPr>
                <w:sz w:val="18"/>
              </w:rPr>
              <w:t>80.410,96</w:t>
            </w:r>
          </w:p>
        </w:tc>
        <w:tc>
          <w:tcPr>
            <w:tcW w:w="1860" w:type="dxa"/>
            <w:tcMar>
              <w:top w:w="0" w:type="dxa"/>
              <w:bottom w:w="0" w:type="dxa"/>
            </w:tcMar>
            <w:vAlign w:val="center"/>
          </w:tcPr>
          <w:p w14:paraId="6FD1826D" w14:textId="77777777" w:rsidR="002660AA" w:rsidRDefault="009B260F">
            <w:pPr>
              <w:keepNext/>
              <w:keepLines/>
              <w:spacing w:after="0" w:line="240" w:lineRule="auto"/>
              <w:jc w:val="right"/>
            </w:pPr>
            <w:r>
              <w:rPr>
                <w:sz w:val="18"/>
              </w:rPr>
              <w:t>89.300,50</w:t>
            </w:r>
          </w:p>
        </w:tc>
        <w:tc>
          <w:tcPr>
            <w:tcW w:w="700" w:type="dxa"/>
            <w:tcMar>
              <w:top w:w="0" w:type="dxa"/>
              <w:bottom w:w="0" w:type="dxa"/>
            </w:tcMar>
            <w:vAlign w:val="center"/>
          </w:tcPr>
          <w:p w14:paraId="5385707B" w14:textId="77777777" w:rsidR="002660AA" w:rsidRDefault="009B260F">
            <w:pPr>
              <w:keepNext/>
              <w:keepLines/>
              <w:spacing w:after="0" w:line="240" w:lineRule="auto"/>
              <w:jc w:val="right"/>
            </w:pPr>
            <w:r>
              <w:rPr>
                <w:sz w:val="18"/>
              </w:rPr>
              <w:t>111,1</w:t>
            </w:r>
          </w:p>
        </w:tc>
      </w:tr>
    </w:tbl>
    <w:p w14:paraId="40D9C768" w14:textId="77777777" w:rsidR="002660AA" w:rsidRDefault="002660AA">
      <w:pPr>
        <w:spacing w:after="0"/>
      </w:pPr>
    </w:p>
    <w:p w14:paraId="7DC3A7BC" w14:textId="77777777" w:rsidR="002660AA" w:rsidRDefault="009B260F">
      <w:r>
        <w:t>Do oprasta je došlo u sklopu aktivnosti redovnog rada ureda Gradonačelnika</w:t>
      </w:r>
    </w:p>
    <w:p w14:paraId="5606D806" w14:textId="77777777" w:rsidR="002660AA" w:rsidRDefault="002660AA"/>
    <w:p w14:paraId="5F9A3A6A" w14:textId="77777777" w:rsidR="002660AA" w:rsidRDefault="009B260F">
      <w:pPr>
        <w:keepNext/>
        <w:spacing w:line="240" w:lineRule="auto"/>
        <w:jc w:val="center"/>
      </w:pPr>
      <w:r>
        <w:rPr>
          <w:sz w:val="28"/>
        </w:rPr>
        <w:t>Bilješka 51.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C0F2A8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ABFE55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ECE764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19D423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900F997"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573DAA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897A12E" w14:textId="77777777" w:rsidR="002660AA" w:rsidRDefault="009B260F">
            <w:pPr>
              <w:keepNext/>
              <w:keepLines/>
              <w:spacing w:after="0" w:line="240" w:lineRule="auto"/>
              <w:jc w:val="center"/>
            </w:pPr>
            <w:r>
              <w:rPr>
                <w:b/>
                <w:sz w:val="18"/>
              </w:rPr>
              <w:t>Indeks (%)</w:t>
            </w:r>
          </w:p>
        </w:tc>
      </w:tr>
      <w:tr w:rsidR="002660AA" w14:paraId="4745B20A" w14:textId="77777777">
        <w:tblPrEx>
          <w:tblCellMar>
            <w:top w:w="0" w:type="dxa"/>
            <w:bottom w:w="0" w:type="dxa"/>
          </w:tblCellMar>
        </w:tblPrEx>
        <w:trPr>
          <w:cantSplit/>
          <w:trHeight w:val="560"/>
        </w:trPr>
        <w:tc>
          <w:tcPr>
            <w:tcW w:w="700" w:type="dxa"/>
            <w:tcMar>
              <w:top w:w="0" w:type="dxa"/>
              <w:bottom w:w="0" w:type="dxa"/>
            </w:tcMar>
            <w:vAlign w:val="center"/>
          </w:tcPr>
          <w:p w14:paraId="6CDE6F47" w14:textId="77777777" w:rsidR="002660AA" w:rsidRDefault="009B260F">
            <w:pPr>
              <w:keepNext/>
              <w:keepLines/>
              <w:spacing w:after="0" w:line="240" w:lineRule="auto"/>
            </w:pPr>
            <w:r>
              <w:rPr>
                <w:sz w:val="18"/>
              </w:rPr>
              <w:t>3294</w:t>
            </w:r>
          </w:p>
        </w:tc>
        <w:tc>
          <w:tcPr>
            <w:tcW w:w="3180" w:type="dxa"/>
            <w:tcMar>
              <w:top w:w="0" w:type="dxa"/>
              <w:bottom w:w="0" w:type="dxa"/>
            </w:tcMar>
            <w:vAlign w:val="center"/>
          </w:tcPr>
          <w:p w14:paraId="2C5FDD85" w14:textId="77777777" w:rsidR="002660AA" w:rsidRDefault="009B260F">
            <w:pPr>
              <w:keepNext/>
              <w:keepLines/>
              <w:spacing w:after="0" w:line="240" w:lineRule="auto"/>
            </w:pPr>
            <w:r>
              <w:rPr>
                <w:sz w:val="18"/>
              </w:rPr>
              <w:t>Članarine i norme</w:t>
            </w:r>
          </w:p>
        </w:tc>
        <w:tc>
          <w:tcPr>
            <w:tcW w:w="700" w:type="dxa"/>
            <w:tcMar>
              <w:top w:w="0" w:type="dxa"/>
              <w:bottom w:w="0" w:type="dxa"/>
            </w:tcMar>
            <w:vAlign w:val="center"/>
          </w:tcPr>
          <w:p w14:paraId="74C2125A" w14:textId="77777777" w:rsidR="002660AA" w:rsidRDefault="009B260F">
            <w:pPr>
              <w:keepNext/>
              <w:keepLines/>
              <w:spacing w:after="0" w:line="240" w:lineRule="auto"/>
            </w:pPr>
            <w:r>
              <w:rPr>
                <w:sz w:val="18"/>
              </w:rPr>
              <w:t>3294</w:t>
            </w:r>
          </w:p>
        </w:tc>
        <w:tc>
          <w:tcPr>
            <w:tcW w:w="1860" w:type="dxa"/>
            <w:tcMar>
              <w:top w:w="0" w:type="dxa"/>
              <w:bottom w:w="0" w:type="dxa"/>
            </w:tcMar>
            <w:vAlign w:val="center"/>
          </w:tcPr>
          <w:p w14:paraId="5446FB22" w14:textId="77777777" w:rsidR="002660AA" w:rsidRDefault="009B260F">
            <w:pPr>
              <w:keepNext/>
              <w:keepLines/>
              <w:spacing w:after="0" w:line="240" w:lineRule="auto"/>
              <w:jc w:val="right"/>
            </w:pPr>
            <w:r>
              <w:rPr>
                <w:sz w:val="18"/>
              </w:rPr>
              <w:t>11.573,70</w:t>
            </w:r>
          </w:p>
        </w:tc>
        <w:tc>
          <w:tcPr>
            <w:tcW w:w="1860" w:type="dxa"/>
            <w:tcMar>
              <w:top w:w="0" w:type="dxa"/>
              <w:bottom w:w="0" w:type="dxa"/>
            </w:tcMar>
            <w:vAlign w:val="center"/>
          </w:tcPr>
          <w:p w14:paraId="421D2BAE" w14:textId="77777777" w:rsidR="002660AA" w:rsidRDefault="009B260F">
            <w:pPr>
              <w:keepNext/>
              <w:keepLines/>
              <w:spacing w:after="0" w:line="240" w:lineRule="auto"/>
              <w:jc w:val="right"/>
            </w:pPr>
            <w:r>
              <w:rPr>
                <w:sz w:val="18"/>
              </w:rPr>
              <w:t>18.326,17</w:t>
            </w:r>
          </w:p>
        </w:tc>
        <w:tc>
          <w:tcPr>
            <w:tcW w:w="700" w:type="dxa"/>
            <w:tcMar>
              <w:top w:w="0" w:type="dxa"/>
              <w:bottom w:w="0" w:type="dxa"/>
            </w:tcMar>
            <w:vAlign w:val="center"/>
          </w:tcPr>
          <w:p w14:paraId="7421945D" w14:textId="77777777" w:rsidR="002660AA" w:rsidRDefault="009B260F">
            <w:pPr>
              <w:keepNext/>
              <w:keepLines/>
              <w:spacing w:after="0" w:line="240" w:lineRule="auto"/>
              <w:jc w:val="right"/>
            </w:pPr>
            <w:r>
              <w:rPr>
                <w:sz w:val="18"/>
              </w:rPr>
              <w:t>158,3</w:t>
            </w:r>
          </w:p>
        </w:tc>
      </w:tr>
    </w:tbl>
    <w:p w14:paraId="57CC0605" w14:textId="77777777" w:rsidR="002660AA" w:rsidRDefault="002660AA">
      <w:pPr>
        <w:spacing w:after="0"/>
      </w:pPr>
    </w:p>
    <w:p w14:paraId="490FC63B" w14:textId="77777777" w:rsidR="002660AA" w:rsidRDefault="009B260F">
      <w:r>
        <w:t>Do porasta je došlo radi plaćanja članarine POLIS CITIES AND REGIONS FOR TRANSPORT INNOVATION u sklopu EU odsjeka.</w:t>
      </w:r>
    </w:p>
    <w:p w14:paraId="7D34AC28" w14:textId="77777777" w:rsidR="002660AA" w:rsidRDefault="002660AA"/>
    <w:p w14:paraId="68BD7BDB" w14:textId="77777777" w:rsidR="002660AA" w:rsidRDefault="009B260F">
      <w:pPr>
        <w:keepNext/>
        <w:spacing w:line="240" w:lineRule="auto"/>
        <w:jc w:val="center"/>
      </w:pPr>
      <w:r>
        <w:rPr>
          <w:sz w:val="28"/>
        </w:rPr>
        <w:t>Bilješka 52.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06FE52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8456E2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AA0AA9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0BD081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EEC652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DF03F6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4BC8CBC" w14:textId="77777777" w:rsidR="002660AA" w:rsidRDefault="009B260F">
            <w:pPr>
              <w:keepNext/>
              <w:keepLines/>
              <w:spacing w:after="0" w:line="240" w:lineRule="auto"/>
              <w:jc w:val="center"/>
            </w:pPr>
            <w:r>
              <w:rPr>
                <w:b/>
                <w:sz w:val="18"/>
              </w:rPr>
              <w:t>Indeks (%)</w:t>
            </w:r>
          </w:p>
        </w:tc>
      </w:tr>
      <w:tr w:rsidR="002660AA" w14:paraId="10D98C34" w14:textId="77777777">
        <w:tblPrEx>
          <w:tblCellMar>
            <w:top w:w="0" w:type="dxa"/>
            <w:bottom w:w="0" w:type="dxa"/>
          </w:tblCellMar>
        </w:tblPrEx>
        <w:trPr>
          <w:cantSplit/>
          <w:trHeight w:val="560"/>
        </w:trPr>
        <w:tc>
          <w:tcPr>
            <w:tcW w:w="700" w:type="dxa"/>
            <w:tcMar>
              <w:top w:w="0" w:type="dxa"/>
              <w:bottom w:w="0" w:type="dxa"/>
            </w:tcMar>
            <w:vAlign w:val="center"/>
          </w:tcPr>
          <w:p w14:paraId="1FB62537" w14:textId="77777777" w:rsidR="002660AA" w:rsidRDefault="009B260F">
            <w:pPr>
              <w:keepNext/>
              <w:keepLines/>
              <w:spacing w:after="0" w:line="240" w:lineRule="auto"/>
            </w:pPr>
            <w:r>
              <w:rPr>
                <w:sz w:val="18"/>
              </w:rPr>
              <w:t>3295</w:t>
            </w:r>
          </w:p>
        </w:tc>
        <w:tc>
          <w:tcPr>
            <w:tcW w:w="3180" w:type="dxa"/>
            <w:tcMar>
              <w:top w:w="0" w:type="dxa"/>
              <w:bottom w:w="0" w:type="dxa"/>
            </w:tcMar>
            <w:vAlign w:val="center"/>
          </w:tcPr>
          <w:p w14:paraId="29BE7CFC" w14:textId="77777777" w:rsidR="002660AA" w:rsidRDefault="009B260F">
            <w:pPr>
              <w:keepNext/>
              <w:keepLines/>
              <w:spacing w:after="0" w:line="240" w:lineRule="auto"/>
            </w:pPr>
            <w:r>
              <w:rPr>
                <w:sz w:val="18"/>
              </w:rPr>
              <w:t>Pristojbe i naknade</w:t>
            </w:r>
          </w:p>
        </w:tc>
        <w:tc>
          <w:tcPr>
            <w:tcW w:w="700" w:type="dxa"/>
            <w:tcMar>
              <w:top w:w="0" w:type="dxa"/>
              <w:bottom w:w="0" w:type="dxa"/>
            </w:tcMar>
            <w:vAlign w:val="center"/>
          </w:tcPr>
          <w:p w14:paraId="0BCD8666" w14:textId="77777777" w:rsidR="002660AA" w:rsidRDefault="009B260F">
            <w:pPr>
              <w:keepNext/>
              <w:keepLines/>
              <w:spacing w:after="0" w:line="240" w:lineRule="auto"/>
            </w:pPr>
            <w:r>
              <w:rPr>
                <w:sz w:val="18"/>
              </w:rPr>
              <w:t>3295</w:t>
            </w:r>
          </w:p>
        </w:tc>
        <w:tc>
          <w:tcPr>
            <w:tcW w:w="1860" w:type="dxa"/>
            <w:tcMar>
              <w:top w:w="0" w:type="dxa"/>
              <w:bottom w:w="0" w:type="dxa"/>
            </w:tcMar>
            <w:vAlign w:val="center"/>
          </w:tcPr>
          <w:p w14:paraId="66A9A908" w14:textId="77777777" w:rsidR="002660AA" w:rsidRDefault="009B260F">
            <w:pPr>
              <w:keepNext/>
              <w:keepLines/>
              <w:spacing w:after="0" w:line="240" w:lineRule="auto"/>
              <w:jc w:val="right"/>
            </w:pPr>
            <w:r>
              <w:rPr>
                <w:sz w:val="18"/>
              </w:rPr>
              <w:t>89.371,27</w:t>
            </w:r>
          </w:p>
        </w:tc>
        <w:tc>
          <w:tcPr>
            <w:tcW w:w="1860" w:type="dxa"/>
            <w:tcMar>
              <w:top w:w="0" w:type="dxa"/>
              <w:bottom w:w="0" w:type="dxa"/>
            </w:tcMar>
            <w:vAlign w:val="center"/>
          </w:tcPr>
          <w:p w14:paraId="15C677AB" w14:textId="77777777" w:rsidR="002660AA" w:rsidRDefault="009B260F">
            <w:pPr>
              <w:keepNext/>
              <w:keepLines/>
              <w:spacing w:after="0" w:line="240" w:lineRule="auto"/>
              <w:jc w:val="right"/>
            </w:pPr>
            <w:r>
              <w:rPr>
                <w:sz w:val="18"/>
              </w:rPr>
              <w:t>122.867,64</w:t>
            </w:r>
          </w:p>
        </w:tc>
        <w:tc>
          <w:tcPr>
            <w:tcW w:w="700" w:type="dxa"/>
            <w:tcMar>
              <w:top w:w="0" w:type="dxa"/>
              <w:bottom w:w="0" w:type="dxa"/>
            </w:tcMar>
            <w:vAlign w:val="center"/>
          </w:tcPr>
          <w:p w14:paraId="79E993D7" w14:textId="77777777" w:rsidR="002660AA" w:rsidRDefault="009B260F">
            <w:pPr>
              <w:keepNext/>
              <w:keepLines/>
              <w:spacing w:after="0" w:line="240" w:lineRule="auto"/>
              <w:jc w:val="right"/>
            </w:pPr>
            <w:r>
              <w:rPr>
                <w:sz w:val="18"/>
              </w:rPr>
              <w:t>137,5</w:t>
            </w:r>
          </w:p>
        </w:tc>
      </w:tr>
    </w:tbl>
    <w:p w14:paraId="04E46C5A" w14:textId="77777777" w:rsidR="002660AA" w:rsidRDefault="002660AA">
      <w:pPr>
        <w:spacing w:after="0"/>
      </w:pPr>
    </w:p>
    <w:p w14:paraId="4A1D7AC8" w14:textId="77777777" w:rsidR="002660AA" w:rsidRDefault="009B260F">
      <w:r>
        <w:t>Do porasta je došlo radi plaćanja većih nakanda  za odlaganje otpada općini Koprivnički Ivanec te plaćanja bankarskih nakanda za ugovore 3 kredita.</w:t>
      </w:r>
    </w:p>
    <w:p w14:paraId="67FC2C70" w14:textId="77777777" w:rsidR="002660AA" w:rsidRDefault="002660AA"/>
    <w:p w14:paraId="5041A019" w14:textId="77777777" w:rsidR="002660AA" w:rsidRDefault="009B260F">
      <w:pPr>
        <w:keepNext/>
        <w:spacing w:line="240" w:lineRule="auto"/>
        <w:jc w:val="center"/>
      </w:pPr>
      <w:r>
        <w:rPr>
          <w:sz w:val="28"/>
        </w:rPr>
        <w:t>Bilješka 53.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0E95FC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0A7D00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0E35F9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DD6607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440C22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364254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3F81FD1" w14:textId="77777777" w:rsidR="002660AA" w:rsidRDefault="009B260F">
            <w:pPr>
              <w:keepNext/>
              <w:keepLines/>
              <w:spacing w:after="0" w:line="240" w:lineRule="auto"/>
              <w:jc w:val="center"/>
            </w:pPr>
            <w:r>
              <w:rPr>
                <w:b/>
                <w:sz w:val="18"/>
              </w:rPr>
              <w:t>Indeks (%)</w:t>
            </w:r>
          </w:p>
        </w:tc>
      </w:tr>
      <w:tr w:rsidR="002660AA" w14:paraId="3805A6DD" w14:textId="77777777">
        <w:tblPrEx>
          <w:tblCellMar>
            <w:top w:w="0" w:type="dxa"/>
            <w:bottom w:w="0" w:type="dxa"/>
          </w:tblCellMar>
        </w:tblPrEx>
        <w:trPr>
          <w:cantSplit/>
          <w:trHeight w:val="560"/>
        </w:trPr>
        <w:tc>
          <w:tcPr>
            <w:tcW w:w="700" w:type="dxa"/>
            <w:tcMar>
              <w:top w:w="0" w:type="dxa"/>
              <w:bottom w:w="0" w:type="dxa"/>
            </w:tcMar>
            <w:vAlign w:val="center"/>
          </w:tcPr>
          <w:p w14:paraId="340C40BE" w14:textId="77777777" w:rsidR="002660AA" w:rsidRDefault="009B260F">
            <w:pPr>
              <w:keepNext/>
              <w:keepLines/>
              <w:spacing w:after="0" w:line="240" w:lineRule="auto"/>
            </w:pPr>
            <w:r>
              <w:rPr>
                <w:sz w:val="18"/>
              </w:rPr>
              <w:t>3299</w:t>
            </w:r>
          </w:p>
        </w:tc>
        <w:tc>
          <w:tcPr>
            <w:tcW w:w="3180" w:type="dxa"/>
            <w:tcMar>
              <w:top w:w="0" w:type="dxa"/>
              <w:bottom w:w="0" w:type="dxa"/>
            </w:tcMar>
            <w:vAlign w:val="center"/>
          </w:tcPr>
          <w:p w14:paraId="551C7EA2" w14:textId="77777777" w:rsidR="002660AA" w:rsidRDefault="009B260F">
            <w:pPr>
              <w:keepNext/>
              <w:keepLines/>
              <w:spacing w:after="0" w:line="240" w:lineRule="auto"/>
            </w:pPr>
            <w:r>
              <w:rPr>
                <w:sz w:val="18"/>
              </w:rPr>
              <w:t>Ostali nespomenuti rashodi poslovanja</w:t>
            </w:r>
          </w:p>
        </w:tc>
        <w:tc>
          <w:tcPr>
            <w:tcW w:w="700" w:type="dxa"/>
            <w:tcMar>
              <w:top w:w="0" w:type="dxa"/>
              <w:bottom w:w="0" w:type="dxa"/>
            </w:tcMar>
            <w:vAlign w:val="center"/>
          </w:tcPr>
          <w:p w14:paraId="4132DCE0" w14:textId="77777777" w:rsidR="002660AA" w:rsidRDefault="009B260F">
            <w:pPr>
              <w:keepNext/>
              <w:keepLines/>
              <w:spacing w:after="0" w:line="240" w:lineRule="auto"/>
            </w:pPr>
            <w:r>
              <w:rPr>
                <w:sz w:val="18"/>
              </w:rPr>
              <w:t>3299</w:t>
            </w:r>
          </w:p>
        </w:tc>
        <w:tc>
          <w:tcPr>
            <w:tcW w:w="1860" w:type="dxa"/>
            <w:tcMar>
              <w:top w:w="0" w:type="dxa"/>
              <w:bottom w:w="0" w:type="dxa"/>
            </w:tcMar>
            <w:vAlign w:val="center"/>
          </w:tcPr>
          <w:p w14:paraId="575056EA" w14:textId="77777777" w:rsidR="002660AA" w:rsidRDefault="009B260F">
            <w:pPr>
              <w:keepNext/>
              <w:keepLines/>
              <w:spacing w:after="0" w:line="240" w:lineRule="auto"/>
              <w:jc w:val="right"/>
            </w:pPr>
            <w:r>
              <w:rPr>
                <w:sz w:val="18"/>
              </w:rPr>
              <w:t>100.083,44</w:t>
            </w:r>
          </w:p>
        </w:tc>
        <w:tc>
          <w:tcPr>
            <w:tcW w:w="1860" w:type="dxa"/>
            <w:tcMar>
              <w:top w:w="0" w:type="dxa"/>
              <w:bottom w:w="0" w:type="dxa"/>
            </w:tcMar>
            <w:vAlign w:val="center"/>
          </w:tcPr>
          <w:p w14:paraId="40232B2C" w14:textId="77777777" w:rsidR="002660AA" w:rsidRDefault="009B260F">
            <w:pPr>
              <w:keepNext/>
              <w:keepLines/>
              <w:spacing w:after="0" w:line="240" w:lineRule="auto"/>
              <w:jc w:val="right"/>
            </w:pPr>
            <w:r>
              <w:rPr>
                <w:sz w:val="18"/>
              </w:rPr>
              <w:t>70.321,60</w:t>
            </w:r>
          </w:p>
        </w:tc>
        <w:tc>
          <w:tcPr>
            <w:tcW w:w="700" w:type="dxa"/>
            <w:tcMar>
              <w:top w:w="0" w:type="dxa"/>
              <w:bottom w:w="0" w:type="dxa"/>
            </w:tcMar>
            <w:vAlign w:val="center"/>
          </w:tcPr>
          <w:p w14:paraId="203BFA7F" w14:textId="77777777" w:rsidR="002660AA" w:rsidRDefault="009B260F">
            <w:pPr>
              <w:keepNext/>
              <w:keepLines/>
              <w:spacing w:after="0" w:line="240" w:lineRule="auto"/>
              <w:jc w:val="right"/>
            </w:pPr>
            <w:r>
              <w:rPr>
                <w:sz w:val="18"/>
              </w:rPr>
              <w:t>70,3</w:t>
            </w:r>
          </w:p>
        </w:tc>
      </w:tr>
    </w:tbl>
    <w:p w14:paraId="4BDF4620" w14:textId="77777777" w:rsidR="002660AA" w:rsidRDefault="002660AA">
      <w:pPr>
        <w:spacing w:after="0"/>
      </w:pPr>
    </w:p>
    <w:p w14:paraId="4F920B4C" w14:textId="77777777" w:rsidR="002660AA" w:rsidRDefault="009B260F">
      <w:r>
        <w:t>Prethodne godine realizirali su se troškovi u sklopu aktivnosti "Provođenje edukativnih, kulturnih i sportskih aktivnosti" koje je financiralo Ministarstvo znanosti i obrazovanja a provodio Grad u suradnji sa ZŠU i DV Tratinčica.</w:t>
      </w:r>
    </w:p>
    <w:p w14:paraId="30C83C00" w14:textId="77777777" w:rsidR="002660AA" w:rsidRDefault="002660AA"/>
    <w:p w14:paraId="0CB29A3B" w14:textId="77777777" w:rsidR="002660AA" w:rsidRDefault="009B260F">
      <w:pPr>
        <w:keepNext/>
        <w:spacing w:line="240" w:lineRule="auto"/>
        <w:jc w:val="center"/>
      </w:pPr>
      <w:r>
        <w:rPr>
          <w:sz w:val="28"/>
        </w:rPr>
        <w:t>Bilješka 54.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DC76DF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AD36ED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C4F60A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C3AE15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9E4CE08"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9C0DE8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726924E" w14:textId="77777777" w:rsidR="002660AA" w:rsidRDefault="009B260F">
            <w:pPr>
              <w:keepNext/>
              <w:keepLines/>
              <w:spacing w:after="0" w:line="240" w:lineRule="auto"/>
              <w:jc w:val="center"/>
            </w:pPr>
            <w:r>
              <w:rPr>
                <w:b/>
                <w:sz w:val="18"/>
              </w:rPr>
              <w:t>Indeks (%)</w:t>
            </w:r>
          </w:p>
        </w:tc>
      </w:tr>
      <w:tr w:rsidR="002660AA" w14:paraId="344EB964" w14:textId="77777777">
        <w:tblPrEx>
          <w:tblCellMar>
            <w:top w:w="0" w:type="dxa"/>
            <w:bottom w:w="0" w:type="dxa"/>
          </w:tblCellMar>
        </w:tblPrEx>
        <w:trPr>
          <w:cantSplit/>
          <w:trHeight w:val="560"/>
        </w:trPr>
        <w:tc>
          <w:tcPr>
            <w:tcW w:w="700" w:type="dxa"/>
            <w:tcMar>
              <w:top w:w="0" w:type="dxa"/>
              <w:bottom w:w="0" w:type="dxa"/>
            </w:tcMar>
            <w:vAlign w:val="center"/>
          </w:tcPr>
          <w:p w14:paraId="16D255FB" w14:textId="77777777" w:rsidR="002660AA" w:rsidRDefault="009B260F">
            <w:pPr>
              <w:keepNext/>
              <w:keepLines/>
              <w:spacing w:after="0" w:line="240" w:lineRule="auto"/>
            </w:pPr>
            <w:r>
              <w:rPr>
                <w:sz w:val="18"/>
              </w:rPr>
              <w:t>3423</w:t>
            </w:r>
          </w:p>
        </w:tc>
        <w:tc>
          <w:tcPr>
            <w:tcW w:w="3180" w:type="dxa"/>
            <w:tcMar>
              <w:top w:w="0" w:type="dxa"/>
              <w:bottom w:w="0" w:type="dxa"/>
            </w:tcMar>
            <w:vAlign w:val="center"/>
          </w:tcPr>
          <w:p w14:paraId="1E3928F8" w14:textId="77777777" w:rsidR="002660AA" w:rsidRDefault="009B260F">
            <w:pPr>
              <w:keepNext/>
              <w:keepLines/>
              <w:spacing w:after="0" w:line="240" w:lineRule="auto"/>
            </w:pPr>
            <w:r>
              <w:rPr>
                <w:sz w:val="18"/>
              </w:rPr>
              <w:t>Kamate za primljene kredite i zajmove od kreditnih i ostalih financijskih institucija izvan javnog sektora</w:t>
            </w:r>
          </w:p>
        </w:tc>
        <w:tc>
          <w:tcPr>
            <w:tcW w:w="700" w:type="dxa"/>
            <w:tcMar>
              <w:top w:w="0" w:type="dxa"/>
              <w:bottom w:w="0" w:type="dxa"/>
            </w:tcMar>
            <w:vAlign w:val="center"/>
          </w:tcPr>
          <w:p w14:paraId="11E58112" w14:textId="77777777" w:rsidR="002660AA" w:rsidRDefault="009B260F">
            <w:pPr>
              <w:keepNext/>
              <w:keepLines/>
              <w:spacing w:after="0" w:line="240" w:lineRule="auto"/>
            </w:pPr>
            <w:r>
              <w:rPr>
                <w:sz w:val="18"/>
              </w:rPr>
              <w:t>3423</w:t>
            </w:r>
          </w:p>
        </w:tc>
        <w:tc>
          <w:tcPr>
            <w:tcW w:w="1860" w:type="dxa"/>
            <w:tcMar>
              <w:top w:w="0" w:type="dxa"/>
              <w:bottom w:w="0" w:type="dxa"/>
            </w:tcMar>
            <w:vAlign w:val="center"/>
          </w:tcPr>
          <w:p w14:paraId="2C955440" w14:textId="77777777" w:rsidR="002660AA" w:rsidRDefault="009B260F">
            <w:pPr>
              <w:keepNext/>
              <w:keepLines/>
              <w:spacing w:after="0" w:line="240" w:lineRule="auto"/>
              <w:jc w:val="right"/>
            </w:pPr>
            <w:r>
              <w:rPr>
                <w:sz w:val="18"/>
              </w:rPr>
              <w:t>121.081,40</w:t>
            </w:r>
          </w:p>
        </w:tc>
        <w:tc>
          <w:tcPr>
            <w:tcW w:w="1860" w:type="dxa"/>
            <w:tcMar>
              <w:top w:w="0" w:type="dxa"/>
              <w:bottom w:w="0" w:type="dxa"/>
            </w:tcMar>
            <w:vAlign w:val="center"/>
          </w:tcPr>
          <w:p w14:paraId="77CDE460" w14:textId="77777777" w:rsidR="002660AA" w:rsidRDefault="009B260F">
            <w:pPr>
              <w:keepNext/>
              <w:keepLines/>
              <w:spacing w:after="0" w:line="240" w:lineRule="auto"/>
              <w:jc w:val="right"/>
            </w:pPr>
            <w:r>
              <w:rPr>
                <w:sz w:val="18"/>
              </w:rPr>
              <w:t>216.344,44</w:t>
            </w:r>
          </w:p>
        </w:tc>
        <w:tc>
          <w:tcPr>
            <w:tcW w:w="700" w:type="dxa"/>
            <w:tcMar>
              <w:top w:w="0" w:type="dxa"/>
              <w:bottom w:w="0" w:type="dxa"/>
            </w:tcMar>
            <w:vAlign w:val="center"/>
          </w:tcPr>
          <w:p w14:paraId="30BF41DE" w14:textId="77777777" w:rsidR="002660AA" w:rsidRDefault="009B260F">
            <w:pPr>
              <w:keepNext/>
              <w:keepLines/>
              <w:spacing w:after="0" w:line="240" w:lineRule="auto"/>
              <w:jc w:val="right"/>
            </w:pPr>
            <w:r>
              <w:rPr>
                <w:sz w:val="18"/>
              </w:rPr>
              <w:t>178,7</w:t>
            </w:r>
          </w:p>
        </w:tc>
      </w:tr>
    </w:tbl>
    <w:p w14:paraId="4B2AFFB4" w14:textId="77777777" w:rsidR="002660AA" w:rsidRDefault="002660AA">
      <w:pPr>
        <w:spacing w:after="0"/>
      </w:pPr>
    </w:p>
    <w:p w14:paraId="4BA07614" w14:textId="77777777" w:rsidR="002660AA" w:rsidRDefault="009B260F">
      <w:r>
        <w:t>Do velikog rasta je došlo radi plaćanja kamata na kratkoročni kredit te interkalarnih kamata za 2 nova HBOR kredita.</w:t>
      </w:r>
    </w:p>
    <w:p w14:paraId="65DEC75D" w14:textId="77777777" w:rsidR="002660AA" w:rsidRDefault="002660AA"/>
    <w:p w14:paraId="2E931C6B" w14:textId="77777777" w:rsidR="002660AA" w:rsidRDefault="009B260F">
      <w:pPr>
        <w:keepNext/>
        <w:spacing w:line="240" w:lineRule="auto"/>
        <w:jc w:val="center"/>
      </w:pPr>
      <w:r>
        <w:rPr>
          <w:sz w:val="28"/>
        </w:rPr>
        <w:t>Bilješka 55.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C02E86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B6025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D84E32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E0A37C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90C03B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CF6BB7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082FBCD" w14:textId="77777777" w:rsidR="002660AA" w:rsidRDefault="009B260F">
            <w:pPr>
              <w:keepNext/>
              <w:keepLines/>
              <w:spacing w:after="0" w:line="240" w:lineRule="auto"/>
              <w:jc w:val="center"/>
            </w:pPr>
            <w:r>
              <w:rPr>
                <w:b/>
                <w:sz w:val="18"/>
              </w:rPr>
              <w:t>Indeks (%)</w:t>
            </w:r>
          </w:p>
        </w:tc>
      </w:tr>
      <w:tr w:rsidR="002660AA" w14:paraId="594355E3" w14:textId="77777777">
        <w:tblPrEx>
          <w:tblCellMar>
            <w:top w:w="0" w:type="dxa"/>
            <w:bottom w:w="0" w:type="dxa"/>
          </w:tblCellMar>
        </w:tblPrEx>
        <w:trPr>
          <w:cantSplit/>
          <w:trHeight w:val="560"/>
        </w:trPr>
        <w:tc>
          <w:tcPr>
            <w:tcW w:w="700" w:type="dxa"/>
            <w:tcMar>
              <w:top w:w="0" w:type="dxa"/>
              <w:bottom w:w="0" w:type="dxa"/>
            </w:tcMar>
            <w:vAlign w:val="center"/>
          </w:tcPr>
          <w:p w14:paraId="469B684D" w14:textId="77777777" w:rsidR="002660AA" w:rsidRDefault="009B260F">
            <w:pPr>
              <w:keepNext/>
              <w:keepLines/>
              <w:spacing w:after="0" w:line="240" w:lineRule="auto"/>
            </w:pPr>
            <w:r>
              <w:rPr>
                <w:sz w:val="18"/>
              </w:rPr>
              <w:t>3434</w:t>
            </w:r>
          </w:p>
        </w:tc>
        <w:tc>
          <w:tcPr>
            <w:tcW w:w="3180" w:type="dxa"/>
            <w:tcMar>
              <w:top w:w="0" w:type="dxa"/>
              <w:bottom w:w="0" w:type="dxa"/>
            </w:tcMar>
            <w:vAlign w:val="center"/>
          </w:tcPr>
          <w:p w14:paraId="52FD2F8F" w14:textId="77777777" w:rsidR="002660AA" w:rsidRDefault="009B260F">
            <w:pPr>
              <w:keepNext/>
              <w:keepLines/>
              <w:spacing w:after="0" w:line="240" w:lineRule="auto"/>
            </w:pPr>
            <w:r>
              <w:rPr>
                <w:sz w:val="18"/>
              </w:rPr>
              <w:t>Ostali nespomenuti financijski rashodi</w:t>
            </w:r>
          </w:p>
        </w:tc>
        <w:tc>
          <w:tcPr>
            <w:tcW w:w="700" w:type="dxa"/>
            <w:tcMar>
              <w:top w:w="0" w:type="dxa"/>
              <w:bottom w:w="0" w:type="dxa"/>
            </w:tcMar>
            <w:vAlign w:val="center"/>
          </w:tcPr>
          <w:p w14:paraId="561655C4" w14:textId="77777777" w:rsidR="002660AA" w:rsidRDefault="009B260F">
            <w:pPr>
              <w:keepNext/>
              <w:keepLines/>
              <w:spacing w:after="0" w:line="240" w:lineRule="auto"/>
            </w:pPr>
            <w:r>
              <w:rPr>
                <w:sz w:val="18"/>
              </w:rPr>
              <w:t>3434</w:t>
            </w:r>
          </w:p>
        </w:tc>
        <w:tc>
          <w:tcPr>
            <w:tcW w:w="1860" w:type="dxa"/>
            <w:tcMar>
              <w:top w:w="0" w:type="dxa"/>
              <w:bottom w:w="0" w:type="dxa"/>
            </w:tcMar>
            <w:vAlign w:val="center"/>
          </w:tcPr>
          <w:p w14:paraId="31E531B8" w14:textId="77777777" w:rsidR="002660AA" w:rsidRDefault="009B260F">
            <w:pPr>
              <w:keepNext/>
              <w:keepLines/>
              <w:spacing w:after="0" w:line="240" w:lineRule="auto"/>
              <w:jc w:val="right"/>
            </w:pPr>
            <w:r>
              <w:rPr>
                <w:sz w:val="18"/>
              </w:rPr>
              <w:t>44.807,65</w:t>
            </w:r>
          </w:p>
        </w:tc>
        <w:tc>
          <w:tcPr>
            <w:tcW w:w="1860" w:type="dxa"/>
            <w:tcMar>
              <w:top w:w="0" w:type="dxa"/>
              <w:bottom w:w="0" w:type="dxa"/>
            </w:tcMar>
            <w:vAlign w:val="center"/>
          </w:tcPr>
          <w:p w14:paraId="40B140CD" w14:textId="77777777" w:rsidR="002660AA" w:rsidRDefault="009B260F">
            <w:pPr>
              <w:keepNext/>
              <w:keepLines/>
              <w:spacing w:after="0" w:line="240" w:lineRule="auto"/>
              <w:jc w:val="right"/>
            </w:pPr>
            <w:r>
              <w:rPr>
                <w:sz w:val="18"/>
              </w:rPr>
              <w:t>15.514,27</w:t>
            </w:r>
          </w:p>
        </w:tc>
        <w:tc>
          <w:tcPr>
            <w:tcW w:w="700" w:type="dxa"/>
            <w:tcMar>
              <w:top w:w="0" w:type="dxa"/>
              <w:bottom w:w="0" w:type="dxa"/>
            </w:tcMar>
            <w:vAlign w:val="center"/>
          </w:tcPr>
          <w:p w14:paraId="6B0FD3F5" w14:textId="77777777" w:rsidR="002660AA" w:rsidRDefault="009B260F">
            <w:pPr>
              <w:keepNext/>
              <w:keepLines/>
              <w:spacing w:after="0" w:line="240" w:lineRule="auto"/>
              <w:jc w:val="right"/>
            </w:pPr>
            <w:r>
              <w:rPr>
                <w:sz w:val="18"/>
              </w:rPr>
              <w:t>34,6</w:t>
            </w:r>
          </w:p>
        </w:tc>
      </w:tr>
    </w:tbl>
    <w:p w14:paraId="0742D749" w14:textId="77777777" w:rsidR="002660AA" w:rsidRDefault="002660AA">
      <w:pPr>
        <w:spacing w:after="0"/>
      </w:pPr>
    </w:p>
    <w:p w14:paraId="2A49BBA0" w14:textId="77777777" w:rsidR="002660AA" w:rsidRDefault="009B260F">
      <w:r>
        <w:t>Bilježi se značajni pad jer je tijekom 2024. godine Grad bio u obvezi isplatiti značajna sredstva na ime ošasne imovine.</w:t>
      </w:r>
    </w:p>
    <w:p w14:paraId="69AFB420" w14:textId="77777777" w:rsidR="002660AA" w:rsidRDefault="002660AA"/>
    <w:p w14:paraId="149E2903" w14:textId="77777777" w:rsidR="002660AA" w:rsidRDefault="009B260F">
      <w:pPr>
        <w:keepNext/>
        <w:spacing w:line="240" w:lineRule="auto"/>
        <w:jc w:val="center"/>
      </w:pPr>
      <w:r>
        <w:rPr>
          <w:sz w:val="28"/>
        </w:rPr>
        <w:t>Bilješka 56.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1D87A4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298157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F7BFA4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23D484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40B1847"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8AF03A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D2C26C7" w14:textId="77777777" w:rsidR="002660AA" w:rsidRDefault="009B260F">
            <w:pPr>
              <w:keepNext/>
              <w:keepLines/>
              <w:spacing w:after="0" w:line="240" w:lineRule="auto"/>
              <w:jc w:val="center"/>
            </w:pPr>
            <w:r>
              <w:rPr>
                <w:b/>
                <w:sz w:val="18"/>
              </w:rPr>
              <w:t>Indeks (%)</w:t>
            </w:r>
          </w:p>
        </w:tc>
      </w:tr>
      <w:tr w:rsidR="002660AA" w14:paraId="37820A0B" w14:textId="77777777">
        <w:tblPrEx>
          <w:tblCellMar>
            <w:top w:w="0" w:type="dxa"/>
            <w:bottom w:w="0" w:type="dxa"/>
          </w:tblCellMar>
        </w:tblPrEx>
        <w:trPr>
          <w:cantSplit/>
          <w:trHeight w:val="560"/>
        </w:trPr>
        <w:tc>
          <w:tcPr>
            <w:tcW w:w="700" w:type="dxa"/>
            <w:tcMar>
              <w:top w:w="0" w:type="dxa"/>
              <w:bottom w:w="0" w:type="dxa"/>
            </w:tcMar>
            <w:vAlign w:val="center"/>
          </w:tcPr>
          <w:p w14:paraId="38D7FBC4" w14:textId="77777777" w:rsidR="002660AA" w:rsidRDefault="009B260F">
            <w:pPr>
              <w:keepNext/>
              <w:keepLines/>
              <w:spacing w:after="0" w:line="240" w:lineRule="auto"/>
            </w:pPr>
            <w:r>
              <w:rPr>
                <w:sz w:val="18"/>
              </w:rPr>
              <w:t>35</w:t>
            </w:r>
          </w:p>
        </w:tc>
        <w:tc>
          <w:tcPr>
            <w:tcW w:w="3180" w:type="dxa"/>
            <w:tcMar>
              <w:top w:w="0" w:type="dxa"/>
              <w:bottom w:w="0" w:type="dxa"/>
            </w:tcMar>
            <w:vAlign w:val="center"/>
          </w:tcPr>
          <w:p w14:paraId="50E25F5A" w14:textId="77777777" w:rsidR="002660AA" w:rsidRDefault="009B260F">
            <w:pPr>
              <w:keepNext/>
              <w:keepLines/>
              <w:spacing w:after="0" w:line="240" w:lineRule="auto"/>
            </w:pPr>
            <w:r>
              <w:rPr>
                <w:sz w:val="18"/>
              </w:rPr>
              <w:t>Subvencije (šifre 351+352+353)</w:t>
            </w:r>
          </w:p>
        </w:tc>
        <w:tc>
          <w:tcPr>
            <w:tcW w:w="700" w:type="dxa"/>
            <w:tcMar>
              <w:top w:w="0" w:type="dxa"/>
              <w:bottom w:w="0" w:type="dxa"/>
            </w:tcMar>
            <w:vAlign w:val="center"/>
          </w:tcPr>
          <w:p w14:paraId="1770CEAC" w14:textId="77777777" w:rsidR="002660AA" w:rsidRDefault="009B260F">
            <w:pPr>
              <w:keepNext/>
              <w:keepLines/>
              <w:spacing w:after="0" w:line="240" w:lineRule="auto"/>
            </w:pPr>
            <w:r>
              <w:rPr>
                <w:sz w:val="18"/>
              </w:rPr>
              <w:t>35</w:t>
            </w:r>
          </w:p>
        </w:tc>
        <w:tc>
          <w:tcPr>
            <w:tcW w:w="1860" w:type="dxa"/>
            <w:tcMar>
              <w:top w:w="0" w:type="dxa"/>
              <w:bottom w:w="0" w:type="dxa"/>
            </w:tcMar>
            <w:vAlign w:val="center"/>
          </w:tcPr>
          <w:p w14:paraId="5DB56131" w14:textId="77777777" w:rsidR="002660AA" w:rsidRDefault="009B260F">
            <w:pPr>
              <w:keepNext/>
              <w:keepLines/>
              <w:spacing w:after="0" w:line="240" w:lineRule="auto"/>
              <w:jc w:val="right"/>
            </w:pPr>
            <w:r>
              <w:rPr>
                <w:sz w:val="18"/>
              </w:rPr>
              <w:t>440.598,39</w:t>
            </w:r>
          </w:p>
        </w:tc>
        <w:tc>
          <w:tcPr>
            <w:tcW w:w="1860" w:type="dxa"/>
            <w:tcMar>
              <w:top w:w="0" w:type="dxa"/>
              <w:bottom w:w="0" w:type="dxa"/>
            </w:tcMar>
            <w:vAlign w:val="center"/>
          </w:tcPr>
          <w:p w14:paraId="125E844C" w14:textId="77777777" w:rsidR="002660AA" w:rsidRDefault="009B260F">
            <w:pPr>
              <w:keepNext/>
              <w:keepLines/>
              <w:spacing w:after="0" w:line="240" w:lineRule="auto"/>
              <w:jc w:val="right"/>
            </w:pPr>
            <w:r>
              <w:rPr>
                <w:sz w:val="18"/>
              </w:rPr>
              <w:t>495.601,11</w:t>
            </w:r>
          </w:p>
        </w:tc>
        <w:tc>
          <w:tcPr>
            <w:tcW w:w="700" w:type="dxa"/>
            <w:tcMar>
              <w:top w:w="0" w:type="dxa"/>
              <w:bottom w:w="0" w:type="dxa"/>
            </w:tcMar>
            <w:vAlign w:val="center"/>
          </w:tcPr>
          <w:p w14:paraId="4F0615E0" w14:textId="77777777" w:rsidR="002660AA" w:rsidRDefault="009B260F">
            <w:pPr>
              <w:keepNext/>
              <w:keepLines/>
              <w:spacing w:after="0" w:line="240" w:lineRule="auto"/>
              <w:jc w:val="right"/>
            </w:pPr>
            <w:r>
              <w:rPr>
                <w:sz w:val="18"/>
              </w:rPr>
              <w:t>112,5</w:t>
            </w:r>
          </w:p>
        </w:tc>
      </w:tr>
    </w:tbl>
    <w:p w14:paraId="12C80F68" w14:textId="77777777" w:rsidR="002660AA" w:rsidRDefault="002660AA">
      <w:pPr>
        <w:spacing w:after="0"/>
      </w:pPr>
    </w:p>
    <w:p w14:paraId="2003C03B" w14:textId="77777777" w:rsidR="002660AA" w:rsidRDefault="009B260F">
      <w:r>
        <w:t>Bilježi se rast radi isplata sredstava medijima temeljem Javnog poziva za financiranje programskih sadržaja elektroničkih publikacija.</w:t>
      </w:r>
    </w:p>
    <w:p w14:paraId="4AF25ACB" w14:textId="77777777" w:rsidR="002660AA" w:rsidRDefault="002660AA"/>
    <w:p w14:paraId="4E9202E6" w14:textId="77777777" w:rsidR="002660AA" w:rsidRDefault="009B260F">
      <w:pPr>
        <w:keepNext/>
        <w:spacing w:line="240" w:lineRule="auto"/>
        <w:jc w:val="center"/>
      </w:pPr>
      <w:r>
        <w:rPr>
          <w:sz w:val="28"/>
        </w:rPr>
        <w:t>Bilješka 57.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022803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28613A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CAC252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319902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6BBD2F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E98A9B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1B2B6FB" w14:textId="77777777" w:rsidR="002660AA" w:rsidRDefault="009B260F">
            <w:pPr>
              <w:keepNext/>
              <w:keepLines/>
              <w:spacing w:after="0" w:line="240" w:lineRule="auto"/>
              <w:jc w:val="center"/>
            </w:pPr>
            <w:r>
              <w:rPr>
                <w:b/>
                <w:sz w:val="18"/>
              </w:rPr>
              <w:t>Indeks (%)</w:t>
            </w:r>
          </w:p>
        </w:tc>
      </w:tr>
      <w:tr w:rsidR="002660AA" w14:paraId="5EBD7859" w14:textId="77777777">
        <w:tblPrEx>
          <w:tblCellMar>
            <w:top w:w="0" w:type="dxa"/>
            <w:bottom w:w="0" w:type="dxa"/>
          </w:tblCellMar>
        </w:tblPrEx>
        <w:trPr>
          <w:cantSplit/>
          <w:trHeight w:val="560"/>
        </w:trPr>
        <w:tc>
          <w:tcPr>
            <w:tcW w:w="700" w:type="dxa"/>
            <w:tcMar>
              <w:top w:w="0" w:type="dxa"/>
              <w:bottom w:w="0" w:type="dxa"/>
            </w:tcMar>
            <w:vAlign w:val="center"/>
          </w:tcPr>
          <w:p w14:paraId="269CBCCE" w14:textId="77777777" w:rsidR="002660AA" w:rsidRDefault="009B260F">
            <w:pPr>
              <w:keepNext/>
              <w:keepLines/>
              <w:spacing w:after="0" w:line="240" w:lineRule="auto"/>
            </w:pPr>
            <w:r>
              <w:rPr>
                <w:sz w:val="18"/>
              </w:rPr>
              <w:t>3512</w:t>
            </w:r>
          </w:p>
        </w:tc>
        <w:tc>
          <w:tcPr>
            <w:tcW w:w="3180" w:type="dxa"/>
            <w:tcMar>
              <w:top w:w="0" w:type="dxa"/>
              <w:bottom w:w="0" w:type="dxa"/>
            </w:tcMar>
            <w:vAlign w:val="center"/>
          </w:tcPr>
          <w:p w14:paraId="6603FEFA" w14:textId="77777777" w:rsidR="002660AA" w:rsidRDefault="009B260F">
            <w:pPr>
              <w:keepNext/>
              <w:keepLines/>
              <w:spacing w:after="0" w:line="240" w:lineRule="auto"/>
            </w:pPr>
            <w:r>
              <w:rPr>
                <w:sz w:val="18"/>
              </w:rPr>
              <w:t>Subvencije trgovačkim društvima u javnom sektoru</w:t>
            </w:r>
          </w:p>
        </w:tc>
        <w:tc>
          <w:tcPr>
            <w:tcW w:w="700" w:type="dxa"/>
            <w:tcMar>
              <w:top w:w="0" w:type="dxa"/>
              <w:bottom w:w="0" w:type="dxa"/>
            </w:tcMar>
            <w:vAlign w:val="center"/>
          </w:tcPr>
          <w:p w14:paraId="4259BC59" w14:textId="77777777" w:rsidR="002660AA" w:rsidRDefault="009B260F">
            <w:pPr>
              <w:keepNext/>
              <w:keepLines/>
              <w:spacing w:after="0" w:line="240" w:lineRule="auto"/>
            </w:pPr>
            <w:r>
              <w:rPr>
                <w:sz w:val="18"/>
              </w:rPr>
              <w:t>3512</w:t>
            </w:r>
          </w:p>
        </w:tc>
        <w:tc>
          <w:tcPr>
            <w:tcW w:w="1860" w:type="dxa"/>
            <w:tcMar>
              <w:top w:w="0" w:type="dxa"/>
              <w:bottom w:w="0" w:type="dxa"/>
            </w:tcMar>
            <w:vAlign w:val="center"/>
          </w:tcPr>
          <w:p w14:paraId="079B8205" w14:textId="77777777" w:rsidR="002660AA" w:rsidRDefault="009B260F">
            <w:pPr>
              <w:keepNext/>
              <w:keepLines/>
              <w:spacing w:after="0" w:line="240" w:lineRule="auto"/>
              <w:jc w:val="right"/>
            </w:pPr>
            <w:r>
              <w:rPr>
                <w:sz w:val="18"/>
              </w:rPr>
              <w:t>297.880,75</w:t>
            </w:r>
          </w:p>
        </w:tc>
        <w:tc>
          <w:tcPr>
            <w:tcW w:w="1860" w:type="dxa"/>
            <w:tcMar>
              <w:top w:w="0" w:type="dxa"/>
              <w:bottom w:w="0" w:type="dxa"/>
            </w:tcMar>
            <w:vAlign w:val="center"/>
          </w:tcPr>
          <w:p w14:paraId="73D7AB91" w14:textId="77777777" w:rsidR="002660AA" w:rsidRDefault="009B260F">
            <w:pPr>
              <w:keepNext/>
              <w:keepLines/>
              <w:spacing w:after="0" w:line="240" w:lineRule="auto"/>
              <w:jc w:val="right"/>
            </w:pPr>
            <w:r>
              <w:rPr>
                <w:sz w:val="18"/>
              </w:rPr>
              <w:t>253.547,40</w:t>
            </w:r>
          </w:p>
        </w:tc>
        <w:tc>
          <w:tcPr>
            <w:tcW w:w="700" w:type="dxa"/>
            <w:tcMar>
              <w:top w:w="0" w:type="dxa"/>
              <w:bottom w:w="0" w:type="dxa"/>
            </w:tcMar>
            <w:vAlign w:val="center"/>
          </w:tcPr>
          <w:p w14:paraId="33DDCAE5" w14:textId="77777777" w:rsidR="002660AA" w:rsidRDefault="009B260F">
            <w:pPr>
              <w:keepNext/>
              <w:keepLines/>
              <w:spacing w:after="0" w:line="240" w:lineRule="auto"/>
              <w:jc w:val="right"/>
            </w:pPr>
            <w:r>
              <w:rPr>
                <w:sz w:val="18"/>
              </w:rPr>
              <w:t>85,1</w:t>
            </w:r>
          </w:p>
        </w:tc>
      </w:tr>
    </w:tbl>
    <w:p w14:paraId="25BEE146" w14:textId="77777777" w:rsidR="002660AA" w:rsidRDefault="002660AA">
      <w:pPr>
        <w:spacing w:after="0"/>
      </w:pPr>
    </w:p>
    <w:p w14:paraId="26D50655" w14:textId="77777777" w:rsidR="002660AA" w:rsidRDefault="009B260F">
      <w:r>
        <w:t>Grad je isplatio subvenciju gradskom komunalnom društvu na ime troška remonta bazena.</w:t>
      </w:r>
    </w:p>
    <w:p w14:paraId="5560C4CB" w14:textId="77777777" w:rsidR="002660AA" w:rsidRDefault="002660AA"/>
    <w:p w14:paraId="7C6A7862" w14:textId="77777777" w:rsidR="002660AA" w:rsidRDefault="009B260F">
      <w:pPr>
        <w:keepNext/>
        <w:spacing w:line="240" w:lineRule="auto"/>
        <w:jc w:val="center"/>
      </w:pPr>
      <w:r>
        <w:rPr>
          <w:sz w:val="28"/>
        </w:rPr>
        <w:t>Bilješka 58.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94991A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B99433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1B5238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D21880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A6C4A0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7611ED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3E95408" w14:textId="77777777" w:rsidR="002660AA" w:rsidRDefault="009B260F">
            <w:pPr>
              <w:keepNext/>
              <w:keepLines/>
              <w:spacing w:after="0" w:line="240" w:lineRule="auto"/>
              <w:jc w:val="center"/>
            </w:pPr>
            <w:r>
              <w:rPr>
                <w:b/>
                <w:sz w:val="18"/>
              </w:rPr>
              <w:t>Indeks (%)</w:t>
            </w:r>
          </w:p>
        </w:tc>
      </w:tr>
      <w:tr w:rsidR="002660AA" w14:paraId="4BE5D8E4" w14:textId="77777777">
        <w:tblPrEx>
          <w:tblCellMar>
            <w:top w:w="0" w:type="dxa"/>
            <w:bottom w:w="0" w:type="dxa"/>
          </w:tblCellMar>
        </w:tblPrEx>
        <w:trPr>
          <w:cantSplit/>
          <w:trHeight w:val="560"/>
        </w:trPr>
        <w:tc>
          <w:tcPr>
            <w:tcW w:w="700" w:type="dxa"/>
            <w:tcMar>
              <w:top w:w="0" w:type="dxa"/>
              <w:bottom w:w="0" w:type="dxa"/>
            </w:tcMar>
            <w:vAlign w:val="center"/>
          </w:tcPr>
          <w:p w14:paraId="66653F81" w14:textId="77777777" w:rsidR="002660AA" w:rsidRDefault="009B260F">
            <w:pPr>
              <w:keepNext/>
              <w:keepLines/>
              <w:spacing w:after="0" w:line="240" w:lineRule="auto"/>
            </w:pPr>
            <w:r>
              <w:rPr>
                <w:sz w:val="18"/>
              </w:rPr>
              <w:t>3522</w:t>
            </w:r>
          </w:p>
        </w:tc>
        <w:tc>
          <w:tcPr>
            <w:tcW w:w="3180" w:type="dxa"/>
            <w:tcMar>
              <w:top w:w="0" w:type="dxa"/>
              <w:bottom w:w="0" w:type="dxa"/>
            </w:tcMar>
            <w:vAlign w:val="center"/>
          </w:tcPr>
          <w:p w14:paraId="55422C87" w14:textId="77777777" w:rsidR="002660AA" w:rsidRDefault="009B260F">
            <w:pPr>
              <w:keepNext/>
              <w:keepLines/>
              <w:spacing w:after="0" w:line="240" w:lineRule="auto"/>
            </w:pPr>
            <w:r>
              <w:rPr>
                <w:sz w:val="18"/>
              </w:rPr>
              <w:t>Subvencije trgovačkim društvima i zadrugama izvan javnog sektora</w:t>
            </w:r>
          </w:p>
        </w:tc>
        <w:tc>
          <w:tcPr>
            <w:tcW w:w="700" w:type="dxa"/>
            <w:tcMar>
              <w:top w:w="0" w:type="dxa"/>
              <w:bottom w:w="0" w:type="dxa"/>
            </w:tcMar>
            <w:vAlign w:val="center"/>
          </w:tcPr>
          <w:p w14:paraId="66B309C3" w14:textId="77777777" w:rsidR="002660AA" w:rsidRDefault="009B260F">
            <w:pPr>
              <w:keepNext/>
              <w:keepLines/>
              <w:spacing w:after="0" w:line="240" w:lineRule="auto"/>
            </w:pPr>
            <w:r>
              <w:rPr>
                <w:sz w:val="18"/>
              </w:rPr>
              <w:t>3522</w:t>
            </w:r>
          </w:p>
        </w:tc>
        <w:tc>
          <w:tcPr>
            <w:tcW w:w="1860" w:type="dxa"/>
            <w:tcMar>
              <w:top w:w="0" w:type="dxa"/>
              <w:bottom w:w="0" w:type="dxa"/>
            </w:tcMar>
            <w:vAlign w:val="center"/>
          </w:tcPr>
          <w:p w14:paraId="7D8A6C0E" w14:textId="77777777" w:rsidR="002660AA" w:rsidRDefault="009B260F">
            <w:pPr>
              <w:keepNext/>
              <w:keepLines/>
              <w:spacing w:after="0" w:line="240" w:lineRule="auto"/>
              <w:jc w:val="right"/>
            </w:pPr>
            <w:r>
              <w:rPr>
                <w:sz w:val="18"/>
              </w:rPr>
              <w:t>1.624,00</w:t>
            </w:r>
          </w:p>
        </w:tc>
        <w:tc>
          <w:tcPr>
            <w:tcW w:w="1860" w:type="dxa"/>
            <w:tcMar>
              <w:top w:w="0" w:type="dxa"/>
              <w:bottom w:w="0" w:type="dxa"/>
            </w:tcMar>
            <w:vAlign w:val="center"/>
          </w:tcPr>
          <w:p w14:paraId="42605CB5" w14:textId="77777777" w:rsidR="002660AA" w:rsidRDefault="009B260F">
            <w:pPr>
              <w:keepNext/>
              <w:keepLines/>
              <w:spacing w:after="0" w:line="240" w:lineRule="auto"/>
              <w:jc w:val="right"/>
            </w:pPr>
            <w:r>
              <w:rPr>
                <w:sz w:val="18"/>
              </w:rPr>
              <w:t>80.172,00</w:t>
            </w:r>
          </w:p>
        </w:tc>
        <w:tc>
          <w:tcPr>
            <w:tcW w:w="700" w:type="dxa"/>
            <w:tcMar>
              <w:top w:w="0" w:type="dxa"/>
              <w:bottom w:w="0" w:type="dxa"/>
            </w:tcMar>
            <w:vAlign w:val="center"/>
          </w:tcPr>
          <w:p w14:paraId="05D15CE8" w14:textId="77777777" w:rsidR="002660AA" w:rsidRDefault="009B260F">
            <w:pPr>
              <w:keepNext/>
              <w:keepLines/>
              <w:spacing w:after="0" w:line="240" w:lineRule="auto"/>
              <w:jc w:val="right"/>
            </w:pPr>
            <w:r>
              <w:rPr>
                <w:sz w:val="18"/>
              </w:rPr>
              <w:t>4936,7</w:t>
            </w:r>
          </w:p>
        </w:tc>
      </w:tr>
    </w:tbl>
    <w:p w14:paraId="4BBE8DE6" w14:textId="77777777" w:rsidR="002660AA" w:rsidRDefault="002660AA">
      <w:pPr>
        <w:spacing w:after="0"/>
      </w:pPr>
    </w:p>
    <w:p w14:paraId="6856A00C" w14:textId="77777777" w:rsidR="002660AA" w:rsidRDefault="009B260F">
      <w:r>
        <w:t>ilježi se rast radi isplata sredstava medijima temeljem Javnog poziva za financiranje programskih sadržaja elektroničkih publikacija.</w:t>
      </w:r>
    </w:p>
    <w:p w14:paraId="5E46D0FD" w14:textId="77777777" w:rsidR="002660AA" w:rsidRDefault="002660AA"/>
    <w:p w14:paraId="5DCC5193" w14:textId="77777777" w:rsidR="002660AA" w:rsidRDefault="009B260F">
      <w:pPr>
        <w:keepNext/>
        <w:spacing w:line="240" w:lineRule="auto"/>
        <w:jc w:val="center"/>
      </w:pPr>
      <w:r>
        <w:rPr>
          <w:sz w:val="28"/>
        </w:rPr>
        <w:t>Bilješka 59.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B8F58F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262622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35D0FC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433C87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19E9FC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D6361D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8AD4DD3" w14:textId="77777777" w:rsidR="002660AA" w:rsidRDefault="009B260F">
            <w:pPr>
              <w:keepNext/>
              <w:keepLines/>
              <w:spacing w:after="0" w:line="240" w:lineRule="auto"/>
              <w:jc w:val="center"/>
            </w:pPr>
            <w:r>
              <w:rPr>
                <w:b/>
                <w:sz w:val="18"/>
              </w:rPr>
              <w:t>Indeks (%)</w:t>
            </w:r>
          </w:p>
        </w:tc>
      </w:tr>
      <w:tr w:rsidR="002660AA" w14:paraId="6CB47CE2" w14:textId="77777777">
        <w:tblPrEx>
          <w:tblCellMar>
            <w:top w:w="0" w:type="dxa"/>
            <w:bottom w:w="0" w:type="dxa"/>
          </w:tblCellMar>
        </w:tblPrEx>
        <w:trPr>
          <w:cantSplit/>
          <w:trHeight w:val="560"/>
        </w:trPr>
        <w:tc>
          <w:tcPr>
            <w:tcW w:w="700" w:type="dxa"/>
            <w:tcMar>
              <w:top w:w="0" w:type="dxa"/>
              <w:bottom w:w="0" w:type="dxa"/>
            </w:tcMar>
            <w:vAlign w:val="center"/>
          </w:tcPr>
          <w:p w14:paraId="6555CABC" w14:textId="77777777" w:rsidR="002660AA" w:rsidRDefault="009B260F">
            <w:pPr>
              <w:keepNext/>
              <w:keepLines/>
              <w:spacing w:after="0" w:line="240" w:lineRule="auto"/>
            </w:pPr>
            <w:r>
              <w:rPr>
                <w:sz w:val="18"/>
              </w:rPr>
              <w:t>3523</w:t>
            </w:r>
          </w:p>
        </w:tc>
        <w:tc>
          <w:tcPr>
            <w:tcW w:w="3180" w:type="dxa"/>
            <w:tcMar>
              <w:top w:w="0" w:type="dxa"/>
              <w:bottom w:w="0" w:type="dxa"/>
            </w:tcMar>
            <w:vAlign w:val="center"/>
          </w:tcPr>
          <w:p w14:paraId="274F6C8F" w14:textId="77777777" w:rsidR="002660AA" w:rsidRDefault="009B260F">
            <w:pPr>
              <w:keepNext/>
              <w:keepLines/>
              <w:spacing w:after="0" w:line="240" w:lineRule="auto"/>
            </w:pPr>
            <w:r>
              <w:rPr>
                <w:sz w:val="18"/>
              </w:rPr>
              <w:t>Subvencije poljoprivrednicima i obrtnicima</w:t>
            </w:r>
          </w:p>
        </w:tc>
        <w:tc>
          <w:tcPr>
            <w:tcW w:w="700" w:type="dxa"/>
            <w:tcMar>
              <w:top w:w="0" w:type="dxa"/>
              <w:bottom w:w="0" w:type="dxa"/>
            </w:tcMar>
            <w:vAlign w:val="center"/>
          </w:tcPr>
          <w:p w14:paraId="2D0470C2" w14:textId="77777777" w:rsidR="002660AA" w:rsidRDefault="009B260F">
            <w:pPr>
              <w:keepNext/>
              <w:keepLines/>
              <w:spacing w:after="0" w:line="240" w:lineRule="auto"/>
            </w:pPr>
            <w:r>
              <w:rPr>
                <w:sz w:val="18"/>
              </w:rPr>
              <w:t>3523</w:t>
            </w:r>
          </w:p>
        </w:tc>
        <w:tc>
          <w:tcPr>
            <w:tcW w:w="1860" w:type="dxa"/>
            <w:tcMar>
              <w:top w:w="0" w:type="dxa"/>
              <w:bottom w:w="0" w:type="dxa"/>
            </w:tcMar>
            <w:vAlign w:val="center"/>
          </w:tcPr>
          <w:p w14:paraId="1E668EE8" w14:textId="77777777" w:rsidR="002660AA" w:rsidRDefault="009B260F">
            <w:pPr>
              <w:keepNext/>
              <w:keepLines/>
              <w:spacing w:after="0" w:line="240" w:lineRule="auto"/>
              <w:jc w:val="right"/>
            </w:pPr>
            <w:r>
              <w:rPr>
                <w:sz w:val="18"/>
              </w:rPr>
              <w:t>141.093,64</w:t>
            </w:r>
          </w:p>
        </w:tc>
        <w:tc>
          <w:tcPr>
            <w:tcW w:w="1860" w:type="dxa"/>
            <w:tcMar>
              <w:top w:w="0" w:type="dxa"/>
              <w:bottom w:w="0" w:type="dxa"/>
            </w:tcMar>
            <w:vAlign w:val="center"/>
          </w:tcPr>
          <w:p w14:paraId="5F85183F" w14:textId="77777777" w:rsidR="002660AA" w:rsidRDefault="009B260F">
            <w:pPr>
              <w:keepNext/>
              <w:keepLines/>
              <w:spacing w:after="0" w:line="240" w:lineRule="auto"/>
              <w:jc w:val="right"/>
            </w:pPr>
            <w:r>
              <w:rPr>
                <w:sz w:val="18"/>
              </w:rPr>
              <w:t>161.881,71</w:t>
            </w:r>
          </w:p>
        </w:tc>
        <w:tc>
          <w:tcPr>
            <w:tcW w:w="700" w:type="dxa"/>
            <w:tcMar>
              <w:top w:w="0" w:type="dxa"/>
              <w:bottom w:w="0" w:type="dxa"/>
            </w:tcMar>
            <w:vAlign w:val="center"/>
          </w:tcPr>
          <w:p w14:paraId="10000B0C" w14:textId="77777777" w:rsidR="002660AA" w:rsidRDefault="009B260F">
            <w:pPr>
              <w:keepNext/>
              <w:keepLines/>
              <w:spacing w:after="0" w:line="240" w:lineRule="auto"/>
              <w:jc w:val="right"/>
            </w:pPr>
            <w:r>
              <w:rPr>
                <w:sz w:val="18"/>
              </w:rPr>
              <w:t>114,7</w:t>
            </w:r>
          </w:p>
        </w:tc>
      </w:tr>
    </w:tbl>
    <w:p w14:paraId="6327ECC6" w14:textId="77777777" w:rsidR="002660AA" w:rsidRDefault="002660AA">
      <w:pPr>
        <w:spacing w:after="0"/>
      </w:pPr>
    </w:p>
    <w:p w14:paraId="0DB35FBE" w14:textId="77777777" w:rsidR="002660AA" w:rsidRDefault="009B260F">
      <w:r>
        <w:t>Temeljem javnog poziva za podnošenje prijava za dodjelu potpora male vrijednosti iz Programa dodjele potpora male vrijednosti subjektima malog gospodarstva na području Grada Koprivnice za 2025. godinu isplaćeno je više sredstava sukladno prispjelim zahtjevima.</w:t>
      </w:r>
    </w:p>
    <w:p w14:paraId="356CC082" w14:textId="77777777" w:rsidR="002660AA" w:rsidRDefault="002660AA"/>
    <w:p w14:paraId="282215D1" w14:textId="77777777" w:rsidR="002660AA" w:rsidRDefault="009B260F">
      <w:pPr>
        <w:keepNext/>
        <w:spacing w:line="240" w:lineRule="auto"/>
        <w:jc w:val="center"/>
      </w:pPr>
      <w:r>
        <w:rPr>
          <w:sz w:val="28"/>
        </w:rPr>
        <w:t>Bilješka 60.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958E80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EABBD8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D93C72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94B0EF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F89C24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2EE8ED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4E96874" w14:textId="77777777" w:rsidR="002660AA" w:rsidRDefault="009B260F">
            <w:pPr>
              <w:keepNext/>
              <w:keepLines/>
              <w:spacing w:after="0" w:line="240" w:lineRule="auto"/>
              <w:jc w:val="center"/>
            </w:pPr>
            <w:r>
              <w:rPr>
                <w:b/>
                <w:sz w:val="18"/>
              </w:rPr>
              <w:t>Indeks (%)</w:t>
            </w:r>
          </w:p>
        </w:tc>
      </w:tr>
      <w:tr w:rsidR="002660AA" w14:paraId="199C1181" w14:textId="77777777">
        <w:tblPrEx>
          <w:tblCellMar>
            <w:top w:w="0" w:type="dxa"/>
            <w:bottom w:w="0" w:type="dxa"/>
          </w:tblCellMar>
        </w:tblPrEx>
        <w:trPr>
          <w:cantSplit/>
          <w:trHeight w:val="560"/>
        </w:trPr>
        <w:tc>
          <w:tcPr>
            <w:tcW w:w="700" w:type="dxa"/>
            <w:tcMar>
              <w:top w:w="0" w:type="dxa"/>
              <w:bottom w:w="0" w:type="dxa"/>
            </w:tcMar>
            <w:vAlign w:val="center"/>
          </w:tcPr>
          <w:p w14:paraId="42CA6D19" w14:textId="77777777" w:rsidR="002660AA" w:rsidRDefault="009B260F">
            <w:pPr>
              <w:keepNext/>
              <w:keepLines/>
              <w:spacing w:after="0" w:line="240" w:lineRule="auto"/>
            </w:pPr>
            <w:r>
              <w:rPr>
                <w:sz w:val="18"/>
              </w:rPr>
              <w:t>361</w:t>
            </w:r>
          </w:p>
        </w:tc>
        <w:tc>
          <w:tcPr>
            <w:tcW w:w="3180" w:type="dxa"/>
            <w:tcMar>
              <w:top w:w="0" w:type="dxa"/>
              <w:bottom w:w="0" w:type="dxa"/>
            </w:tcMar>
            <w:vAlign w:val="center"/>
          </w:tcPr>
          <w:p w14:paraId="6AC82B06" w14:textId="77777777" w:rsidR="002660AA" w:rsidRDefault="009B260F">
            <w:pPr>
              <w:keepNext/>
              <w:keepLines/>
              <w:spacing w:after="0" w:line="240" w:lineRule="auto"/>
            </w:pPr>
            <w:r>
              <w:rPr>
                <w:sz w:val="18"/>
              </w:rPr>
              <w:t>Pomoći inozemnim vladama (šifre 3611+3612)</w:t>
            </w:r>
          </w:p>
        </w:tc>
        <w:tc>
          <w:tcPr>
            <w:tcW w:w="700" w:type="dxa"/>
            <w:tcMar>
              <w:top w:w="0" w:type="dxa"/>
              <w:bottom w:w="0" w:type="dxa"/>
            </w:tcMar>
            <w:vAlign w:val="center"/>
          </w:tcPr>
          <w:p w14:paraId="1C27884F" w14:textId="77777777" w:rsidR="002660AA" w:rsidRDefault="009B260F">
            <w:pPr>
              <w:keepNext/>
              <w:keepLines/>
              <w:spacing w:after="0" w:line="240" w:lineRule="auto"/>
            </w:pPr>
            <w:r>
              <w:rPr>
                <w:sz w:val="18"/>
              </w:rPr>
              <w:t>361</w:t>
            </w:r>
          </w:p>
        </w:tc>
        <w:tc>
          <w:tcPr>
            <w:tcW w:w="1860" w:type="dxa"/>
            <w:tcMar>
              <w:top w:w="0" w:type="dxa"/>
              <w:bottom w:w="0" w:type="dxa"/>
            </w:tcMar>
            <w:vAlign w:val="center"/>
          </w:tcPr>
          <w:p w14:paraId="33A4ED61" w14:textId="77777777" w:rsidR="002660AA" w:rsidRDefault="009B260F">
            <w:pPr>
              <w:keepNext/>
              <w:keepLines/>
              <w:spacing w:after="0" w:line="240" w:lineRule="auto"/>
              <w:jc w:val="right"/>
            </w:pPr>
            <w:r>
              <w:rPr>
                <w:sz w:val="18"/>
              </w:rPr>
              <w:t>171.689,77</w:t>
            </w:r>
          </w:p>
        </w:tc>
        <w:tc>
          <w:tcPr>
            <w:tcW w:w="1860" w:type="dxa"/>
            <w:tcMar>
              <w:top w:w="0" w:type="dxa"/>
              <w:bottom w:w="0" w:type="dxa"/>
            </w:tcMar>
            <w:vAlign w:val="center"/>
          </w:tcPr>
          <w:p w14:paraId="5933824C"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281A7235" w14:textId="77777777" w:rsidR="002660AA" w:rsidRDefault="009B260F">
            <w:pPr>
              <w:keepNext/>
              <w:keepLines/>
              <w:spacing w:after="0" w:line="240" w:lineRule="auto"/>
              <w:jc w:val="right"/>
            </w:pPr>
            <w:r>
              <w:rPr>
                <w:sz w:val="18"/>
              </w:rPr>
              <w:t>0</w:t>
            </w:r>
          </w:p>
        </w:tc>
      </w:tr>
    </w:tbl>
    <w:p w14:paraId="135848D3" w14:textId="77777777" w:rsidR="002660AA" w:rsidRDefault="002660AA">
      <w:pPr>
        <w:spacing w:after="0"/>
      </w:pPr>
    </w:p>
    <w:p w14:paraId="3CEE7AA7" w14:textId="77777777" w:rsidR="002660AA" w:rsidRDefault="009B260F">
      <w:r>
        <w:t>Pomoći inozemnim vladama ne bilježe  realizaciju u 2025. godini dok je ista 2024. godine iznosila 171.689,77 EUR. Na tim kontima bilježili su se transferi EU inozemnim partnerima gdje se Grad Koprivnica pojavljuje kao glavni partner (ReVITAlize).</w:t>
      </w:r>
    </w:p>
    <w:p w14:paraId="23E434C2" w14:textId="77777777" w:rsidR="002660AA" w:rsidRDefault="002660AA"/>
    <w:p w14:paraId="04C8B306" w14:textId="77777777" w:rsidR="002660AA" w:rsidRDefault="009B260F">
      <w:pPr>
        <w:keepNext/>
        <w:spacing w:line="240" w:lineRule="auto"/>
        <w:jc w:val="center"/>
      </w:pPr>
      <w:r>
        <w:rPr>
          <w:sz w:val="28"/>
        </w:rPr>
        <w:t>Bilješka 61.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68D765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28897AB"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D2F2E3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60D15E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F0E069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820FB7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45B1DA8" w14:textId="77777777" w:rsidR="002660AA" w:rsidRDefault="009B260F">
            <w:pPr>
              <w:keepNext/>
              <w:keepLines/>
              <w:spacing w:after="0" w:line="240" w:lineRule="auto"/>
              <w:jc w:val="center"/>
            </w:pPr>
            <w:r>
              <w:rPr>
                <w:b/>
                <w:sz w:val="18"/>
              </w:rPr>
              <w:t>Indeks (%)</w:t>
            </w:r>
          </w:p>
        </w:tc>
      </w:tr>
      <w:tr w:rsidR="002660AA" w14:paraId="30DDC520" w14:textId="77777777">
        <w:tblPrEx>
          <w:tblCellMar>
            <w:top w:w="0" w:type="dxa"/>
            <w:bottom w:w="0" w:type="dxa"/>
          </w:tblCellMar>
        </w:tblPrEx>
        <w:trPr>
          <w:cantSplit/>
          <w:trHeight w:val="560"/>
        </w:trPr>
        <w:tc>
          <w:tcPr>
            <w:tcW w:w="700" w:type="dxa"/>
            <w:tcMar>
              <w:top w:w="0" w:type="dxa"/>
              <w:bottom w:w="0" w:type="dxa"/>
            </w:tcMar>
            <w:vAlign w:val="center"/>
          </w:tcPr>
          <w:p w14:paraId="6C00FBC8" w14:textId="77777777" w:rsidR="002660AA" w:rsidRDefault="009B260F">
            <w:pPr>
              <w:keepNext/>
              <w:keepLines/>
              <w:spacing w:after="0" w:line="240" w:lineRule="auto"/>
            </w:pPr>
            <w:r>
              <w:rPr>
                <w:sz w:val="18"/>
              </w:rPr>
              <w:t>367</w:t>
            </w:r>
          </w:p>
        </w:tc>
        <w:tc>
          <w:tcPr>
            <w:tcW w:w="3180" w:type="dxa"/>
            <w:tcMar>
              <w:top w:w="0" w:type="dxa"/>
              <w:bottom w:w="0" w:type="dxa"/>
            </w:tcMar>
            <w:vAlign w:val="center"/>
          </w:tcPr>
          <w:p w14:paraId="7CC8193F" w14:textId="77777777" w:rsidR="002660AA" w:rsidRDefault="009B260F">
            <w:pPr>
              <w:keepNext/>
              <w:keepLines/>
              <w:spacing w:after="0" w:line="240" w:lineRule="auto"/>
            </w:pPr>
            <w:r>
              <w:rPr>
                <w:sz w:val="18"/>
              </w:rPr>
              <w:t>Prijenosi proračunskim korisnicima iz nadležnog proračuna za financiranje redovne djelatnosti (šifre 3672 do 3674)</w:t>
            </w:r>
          </w:p>
        </w:tc>
        <w:tc>
          <w:tcPr>
            <w:tcW w:w="700" w:type="dxa"/>
            <w:tcMar>
              <w:top w:w="0" w:type="dxa"/>
              <w:bottom w:w="0" w:type="dxa"/>
            </w:tcMar>
            <w:vAlign w:val="center"/>
          </w:tcPr>
          <w:p w14:paraId="237D6DD0" w14:textId="77777777" w:rsidR="002660AA" w:rsidRDefault="009B260F">
            <w:pPr>
              <w:keepNext/>
              <w:keepLines/>
              <w:spacing w:after="0" w:line="240" w:lineRule="auto"/>
            </w:pPr>
            <w:r>
              <w:rPr>
                <w:sz w:val="18"/>
              </w:rPr>
              <w:t>367</w:t>
            </w:r>
          </w:p>
        </w:tc>
        <w:tc>
          <w:tcPr>
            <w:tcW w:w="1860" w:type="dxa"/>
            <w:tcMar>
              <w:top w:w="0" w:type="dxa"/>
              <w:bottom w:w="0" w:type="dxa"/>
            </w:tcMar>
            <w:vAlign w:val="center"/>
          </w:tcPr>
          <w:p w14:paraId="1DEA9C02" w14:textId="77777777" w:rsidR="002660AA" w:rsidRDefault="009B260F">
            <w:pPr>
              <w:keepNext/>
              <w:keepLines/>
              <w:spacing w:after="0" w:line="240" w:lineRule="auto"/>
              <w:jc w:val="right"/>
            </w:pPr>
            <w:r>
              <w:rPr>
                <w:sz w:val="18"/>
              </w:rPr>
              <w:t>8.681.462,48</w:t>
            </w:r>
          </w:p>
        </w:tc>
        <w:tc>
          <w:tcPr>
            <w:tcW w:w="1860" w:type="dxa"/>
            <w:tcMar>
              <w:top w:w="0" w:type="dxa"/>
              <w:bottom w:w="0" w:type="dxa"/>
            </w:tcMar>
            <w:vAlign w:val="center"/>
          </w:tcPr>
          <w:p w14:paraId="4C6FAB3A" w14:textId="77777777" w:rsidR="002660AA" w:rsidRDefault="009B260F">
            <w:pPr>
              <w:keepNext/>
              <w:keepLines/>
              <w:spacing w:after="0" w:line="240" w:lineRule="auto"/>
              <w:jc w:val="right"/>
            </w:pPr>
            <w:r>
              <w:rPr>
                <w:sz w:val="18"/>
              </w:rPr>
              <w:t>12.210.755,52</w:t>
            </w:r>
          </w:p>
        </w:tc>
        <w:tc>
          <w:tcPr>
            <w:tcW w:w="700" w:type="dxa"/>
            <w:tcMar>
              <w:top w:w="0" w:type="dxa"/>
              <w:bottom w:w="0" w:type="dxa"/>
            </w:tcMar>
            <w:vAlign w:val="center"/>
          </w:tcPr>
          <w:p w14:paraId="7308BA3E" w14:textId="77777777" w:rsidR="002660AA" w:rsidRDefault="009B260F">
            <w:pPr>
              <w:keepNext/>
              <w:keepLines/>
              <w:spacing w:after="0" w:line="240" w:lineRule="auto"/>
              <w:jc w:val="right"/>
            </w:pPr>
            <w:r>
              <w:rPr>
                <w:sz w:val="18"/>
              </w:rPr>
              <w:t>140,7</w:t>
            </w:r>
          </w:p>
        </w:tc>
      </w:tr>
    </w:tbl>
    <w:p w14:paraId="46E025FB" w14:textId="77777777" w:rsidR="002660AA" w:rsidRDefault="002660AA">
      <w:pPr>
        <w:spacing w:after="0"/>
      </w:pPr>
    </w:p>
    <w:p w14:paraId="201DE15B" w14:textId="77777777" w:rsidR="002660AA" w:rsidRDefault="009B260F">
      <w:r>
        <w:t>Sukladno obvezama grada kao osnivača za financiranje redovne djelatnosti, a u kontekstu novih kolektivnih ugovora, osnivanja nove ustanove (vrtića), sveobuhvatne inflacije poskupljenja poslovanja na svim razinama transferi prema proračunskim korisnicima bilježe veliki rast.</w:t>
      </w:r>
    </w:p>
    <w:p w14:paraId="355B2B5D" w14:textId="77777777" w:rsidR="002660AA" w:rsidRDefault="002660AA"/>
    <w:p w14:paraId="059B5752" w14:textId="77777777" w:rsidR="002660AA" w:rsidRDefault="009B260F">
      <w:pPr>
        <w:keepNext/>
        <w:spacing w:line="240" w:lineRule="auto"/>
        <w:jc w:val="center"/>
      </w:pPr>
      <w:r>
        <w:rPr>
          <w:sz w:val="28"/>
        </w:rPr>
        <w:t>Bilješka 62.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9D4194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37191A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6EE45C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DF6E7E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42AC31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78AF1B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868DC31" w14:textId="77777777" w:rsidR="002660AA" w:rsidRDefault="009B260F">
            <w:pPr>
              <w:keepNext/>
              <w:keepLines/>
              <w:spacing w:after="0" w:line="240" w:lineRule="auto"/>
              <w:jc w:val="center"/>
            </w:pPr>
            <w:r>
              <w:rPr>
                <w:b/>
                <w:sz w:val="18"/>
              </w:rPr>
              <w:t>Indeks (%)</w:t>
            </w:r>
          </w:p>
        </w:tc>
      </w:tr>
      <w:tr w:rsidR="002660AA" w14:paraId="6887AAB9" w14:textId="77777777">
        <w:tblPrEx>
          <w:tblCellMar>
            <w:top w:w="0" w:type="dxa"/>
            <w:bottom w:w="0" w:type="dxa"/>
          </w:tblCellMar>
        </w:tblPrEx>
        <w:trPr>
          <w:cantSplit/>
          <w:trHeight w:val="560"/>
        </w:trPr>
        <w:tc>
          <w:tcPr>
            <w:tcW w:w="700" w:type="dxa"/>
            <w:tcMar>
              <w:top w:w="0" w:type="dxa"/>
              <w:bottom w:w="0" w:type="dxa"/>
            </w:tcMar>
            <w:vAlign w:val="center"/>
          </w:tcPr>
          <w:p w14:paraId="58DB35C0" w14:textId="77777777" w:rsidR="002660AA" w:rsidRDefault="009B260F">
            <w:pPr>
              <w:keepNext/>
              <w:keepLines/>
              <w:spacing w:after="0" w:line="240" w:lineRule="auto"/>
            </w:pPr>
            <w:r>
              <w:rPr>
                <w:sz w:val="18"/>
              </w:rPr>
              <w:t>369</w:t>
            </w:r>
          </w:p>
        </w:tc>
        <w:tc>
          <w:tcPr>
            <w:tcW w:w="3180" w:type="dxa"/>
            <w:tcMar>
              <w:top w:w="0" w:type="dxa"/>
              <w:bottom w:w="0" w:type="dxa"/>
            </w:tcMar>
            <w:vAlign w:val="center"/>
          </w:tcPr>
          <w:p w14:paraId="6CA9E8FB" w14:textId="77777777" w:rsidR="002660AA" w:rsidRDefault="009B260F">
            <w:pPr>
              <w:keepNext/>
              <w:keepLines/>
              <w:spacing w:after="0" w:line="240" w:lineRule="auto"/>
            </w:pPr>
            <w:r>
              <w:rPr>
                <w:sz w:val="18"/>
              </w:rPr>
              <w:t>Prijenosi između proračunskih korisnika istog proračuna (šifre 3691 do 3694)</w:t>
            </w:r>
          </w:p>
        </w:tc>
        <w:tc>
          <w:tcPr>
            <w:tcW w:w="700" w:type="dxa"/>
            <w:tcMar>
              <w:top w:w="0" w:type="dxa"/>
              <w:bottom w:w="0" w:type="dxa"/>
            </w:tcMar>
            <w:vAlign w:val="center"/>
          </w:tcPr>
          <w:p w14:paraId="4D5BC40B" w14:textId="77777777" w:rsidR="002660AA" w:rsidRDefault="009B260F">
            <w:pPr>
              <w:keepNext/>
              <w:keepLines/>
              <w:spacing w:after="0" w:line="240" w:lineRule="auto"/>
            </w:pPr>
            <w:r>
              <w:rPr>
                <w:sz w:val="18"/>
              </w:rPr>
              <w:t>369</w:t>
            </w:r>
          </w:p>
        </w:tc>
        <w:tc>
          <w:tcPr>
            <w:tcW w:w="1860" w:type="dxa"/>
            <w:tcMar>
              <w:top w:w="0" w:type="dxa"/>
              <w:bottom w:w="0" w:type="dxa"/>
            </w:tcMar>
            <w:vAlign w:val="center"/>
          </w:tcPr>
          <w:p w14:paraId="547CB256" w14:textId="77777777" w:rsidR="002660AA" w:rsidRDefault="009B260F">
            <w:pPr>
              <w:keepNext/>
              <w:keepLines/>
              <w:spacing w:after="0" w:line="240" w:lineRule="auto"/>
              <w:jc w:val="right"/>
            </w:pPr>
            <w:r>
              <w:rPr>
                <w:sz w:val="18"/>
              </w:rPr>
              <w:t>277.217,63</w:t>
            </w:r>
          </w:p>
        </w:tc>
        <w:tc>
          <w:tcPr>
            <w:tcW w:w="1860" w:type="dxa"/>
            <w:tcMar>
              <w:top w:w="0" w:type="dxa"/>
              <w:bottom w:w="0" w:type="dxa"/>
            </w:tcMar>
            <w:vAlign w:val="center"/>
          </w:tcPr>
          <w:p w14:paraId="4ED26D00" w14:textId="77777777" w:rsidR="002660AA" w:rsidRDefault="009B260F">
            <w:pPr>
              <w:keepNext/>
              <w:keepLines/>
              <w:spacing w:after="0" w:line="240" w:lineRule="auto"/>
              <w:jc w:val="right"/>
            </w:pPr>
            <w:r>
              <w:rPr>
                <w:sz w:val="18"/>
              </w:rPr>
              <w:t>484.083,40</w:t>
            </w:r>
          </w:p>
        </w:tc>
        <w:tc>
          <w:tcPr>
            <w:tcW w:w="700" w:type="dxa"/>
            <w:tcMar>
              <w:top w:w="0" w:type="dxa"/>
              <w:bottom w:w="0" w:type="dxa"/>
            </w:tcMar>
            <w:vAlign w:val="center"/>
          </w:tcPr>
          <w:p w14:paraId="79AC7815" w14:textId="77777777" w:rsidR="002660AA" w:rsidRDefault="009B260F">
            <w:pPr>
              <w:keepNext/>
              <w:keepLines/>
              <w:spacing w:after="0" w:line="240" w:lineRule="auto"/>
              <w:jc w:val="right"/>
            </w:pPr>
            <w:r>
              <w:rPr>
                <w:sz w:val="18"/>
              </w:rPr>
              <w:t>174,6</w:t>
            </w:r>
          </w:p>
        </w:tc>
      </w:tr>
    </w:tbl>
    <w:p w14:paraId="37AD6708" w14:textId="77777777" w:rsidR="002660AA" w:rsidRDefault="002660AA">
      <w:pPr>
        <w:spacing w:after="0"/>
      </w:pPr>
    </w:p>
    <w:p w14:paraId="12565FFF" w14:textId="77777777" w:rsidR="002660AA" w:rsidRDefault="009B260F">
      <w:r>
        <w:t>Riječ je o povećanju rashoda za zaposlene u školama u sklopu projekta "ODJEK VII".</w:t>
      </w:r>
    </w:p>
    <w:p w14:paraId="16AD750F" w14:textId="77777777" w:rsidR="002660AA" w:rsidRDefault="002660AA"/>
    <w:p w14:paraId="17707580" w14:textId="77777777" w:rsidR="002660AA" w:rsidRDefault="009B260F">
      <w:pPr>
        <w:keepNext/>
        <w:spacing w:line="240" w:lineRule="auto"/>
        <w:jc w:val="center"/>
      </w:pPr>
      <w:r>
        <w:rPr>
          <w:sz w:val="28"/>
        </w:rPr>
        <w:t>Bilješka 63.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105527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0587A0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D4F3AA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38A3B7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918F90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E15B05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11A1786" w14:textId="77777777" w:rsidR="002660AA" w:rsidRDefault="009B260F">
            <w:pPr>
              <w:keepNext/>
              <w:keepLines/>
              <w:spacing w:after="0" w:line="240" w:lineRule="auto"/>
              <w:jc w:val="center"/>
            </w:pPr>
            <w:r>
              <w:rPr>
                <w:b/>
                <w:sz w:val="18"/>
              </w:rPr>
              <w:t>Indeks (%)</w:t>
            </w:r>
          </w:p>
        </w:tc>
      </w:tr>
      <w:tr w:rsidR="002660AA" w14:paraId="4B0222A0" w14:textId="77777777">
        <w:tblPrEx>
          <w:tblCellMar>
            <w:top w:w="0" w:type="dxa"/>
            <w:bottom w:w="0" w:type="dxa"/>
          </w:tblCellMar>
        </w:tblPrEx>
        <w:trPr>
          <w:cantSplit/>
          <w:trHeight w:val="560"/>
        </w:trPr>
        <w:tc>
          <w:tcPr>
            <w:tcW w:w="700" w:type="dxa"/>
            <w:tcMar>
              <w:top w:w="0" w:type="dxa"/>
              <w:bottom w:w="0" w:type="dxa"/>
            </w:tcMar>
            <w:vAlign w:val="center"/>
          </w:tcPr>
          <w:p w14:paraId="143855C0" w14:textId="77777777" w:rsidR="002660AA" w:rsidRDefault="009B260F">
            <w:pPr>
              <w:keepNext/>
              <w:keepLines/>
              <w:spacing w:after="0" w:line="240" w:lineRule="auto"/>
            </w:pPr>
            <w:r>
              <w:rPr>
                <w:sz w:val="18"/>
              </w:rPr>
              <w:t>3721</w:t>
            </w:r>
          </w:p>
        </w:tc>
        <w:tc>
          <w:tcPr>
            <w:tcW w:w="3180" w:type="dxa"/>
            <w:tcMar>
              <w:top w:w="0" w:type="dxa"/>
              <w:bottom w:w="0" w:type="dxa"/>
            </w:tcMar>
            <w:vAlign w:val="center"/>
          </w:tcPr>
          <w:p w14:paraId="503E7007" w14:textId="77777777" w:rsidR="002660AA" w:rsidRDefault="009B260F">
            <w:pPr>
              <w:keepNext/>
              <w:keepLines/>
              <w:spacing w:after="0" w:line="240" w:lineRule="auto"/>
            </w:pPr>
            <w:r>
              <w:rPr>
                <w:sz w:val="18"/>
              </w:rPr>
              <w:t>Naknade građanima i kućanstvima u novcu</w:t>
            </w:r>
          </w:p>
        </w:tc>
        <w:tc>
          <w:tcPr>
            <w:tcW w:w="700" w:type="dxa"/>
            <w:tcMar>
              <w:top w:w="0" w:type="dxa"/>
              <w:bottom w:w="0" w:type="dxa"/>
            </w:tcMar>
            <w:vAlign w:val="center"/>
          </w:tcPr>
          <w:p w14:paraId="065CAF1D" w14:textId="77777777" w:rsidR="002660AA" w:rsidRDefault="009B260F">
            <w:pPr>
              <w:keepNext/>
              <w:keepLines/>
              <w:spacing w:after="0" w:line="240" w:lineRule="auto"/>
            </w:pPr>
            <w:r>
              <w:rPr>
                <w:sz w:val="18"/>
              </w:rPr>
              <w:t>3721</w:t>
            </w:r>
          </w:p>
        </w:tc>
        <w:tc>
          <w:tcPr>
            <w:tcW w:w="1860" w:type="dxa"/>
            <w:tcMar>
              <w:top w:w="0" w:type="dxa"/>
              <w:bottom w:w="0" w:type="dxa"/>
            </w:tcMar>
            <w:vAlign w:val="center"/>
          </w:tcPr>
          <w:p w14:paraId="2CB69499" w14:textId="77777777" w:rsidR="002660AA" w:rsidRDefault="009B260F">
            <w:pPr>
              <w:keepNext/>
              <w:keepLines/>
              <w:spacing w:after="0" w:line="240" w:lineRule="auto"/>
              <w:jc w:val="right"/>
            </w:pPr>
            <w:r>
              <w:rPr>
                <w:sz w:val="18"/>
              </w:rPr>
              <w:t>378.916,76</w:t>
            </w:r>
          </w:p>
        </w:tc>
        <w:tc>
          <w:tcPr>
            <w:tcW w:w="1860" w:type="dxa"/>
            <w:tcMar>
              <w:top w:w="0" w:type="dxa"/>
              <w:bottom w:w="0" w:type="dxa"/>
            </w:tcMar>
            <w:vAlign w:val="center"/>
          </w:tcPr>
          <w:p w14:paraId="736F79BC" w14:textId="77777777" w:rsidR="002660AA" w:rsidRDefault="009B260F">
            <w:pPr>
              <w:keepNext/>
              <w:keepLines/>
              <w:spacing w:after="0" w:line="240" w:lineRule="auto"/>
              <w:jc w:val="right"/>
            </w:pPr>
            <w:r>
              <w:rPr>
                <w:sz w:val="18"/>
              </w:rPr>
              <w:t>592.392,99</w:t>
            </w:r>
          </w:p>
        </w:tc>
        <w:tc>
          <w:tcPr>
            <w:tcW w:w="700" w:type="dxa"/>
            <w:tcMar>
              <w:top w:w="0" w:type="dxa"/>
              <w:bottom w:w="0" w:type="dxa"/>
            </w:tcMar>
            <w:vAlign w:val="center"/>
          </w:tcPr>
          <w:p w14:paraId="169E1E6E" w14:textId="77777777" w:rsidR="002660AA" w:rsidRDefault="009B260F">
            <w:pPr>
              <w:keepNext/>
              <w:keepLines/>
              <w:spacing w:after="0" w:line="240" w:lineRule="auto"/>
              <w:jc w:val="right"/>
            </w:pPr>
            <w:r>
              <w:rPr>
                <w:sz w:val="18"/>
              </w:rPr>
              <w:t>156,3</w:t>
            </w:r>
          </w:p>
        </w:tc>
      </w:tr>
    </w:tbl>
    <w:p w14:paraId="2BF72499" w14:textId="77777777" w:rsidR="002660AA" w:rsidRDefault="002660AA">
      <w:pPr>
        <w:spacing w:after="0"/>
      </w:pPr>
    </w:p>
    <w:p w14:paraId="4343DE91" w14:textId="77777777" w:rsidR="002660AA" w:rsidRDefault="009B260F">
      <w:r>
        <w:t>Bilježi se značajni rast jer je grad povećao iznose naknada za novorođenčad, povećao cenzus za darivanje umirovljenika povodom božićih i uskrsnih praznika, daruju se primatelji inkluzivnog dodatka (3 i 4. kategorije), pomoć za ogrjev je isplaćena u značajnom iznosu kao i naknade za troškove stanovanja.</w:t>
      </w:r>
    </w:p>
    <w:p w14:paraId="1DBE4A7A" w14:textId="77777777" w:rsidR="002660AA" w:rsidRDefault="002660AA"/>
    <w:p w14:paraId="283BF015" w14:textId="77777777" w:rsidR="002660AA" w:rsidRDefault="009B260F">
      <w:pPr>
        <w:keepNext/>
        <w:spacing w:line="240" w:lineRule="auto"/>
        <w:jc w:val="center"/>
      </w:pPr>
      <w:r>
        <w:rPr>
          <w:sz w:val="28"/>
        </w:rPr>
        <w:t>Bilješka 64.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D3C246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E760D3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1E63B5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880620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3EBC48"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1C9E00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8A496DB" w14:textId="77777777" w:rsidR="002660AA" w:rsidRDefault="009B260F">
            <w:pPr>
              <w:keepNext/>
              <w:keepLines/>
              <w:spacing w:after="0" w:line="240" w:lineRule="auto"/>
              <w:jc w:val="center"/>
            </w:pPr>
            <w:r>
              <w:rPr>
                <w:b/>
                <w:sz w:val="18"/>
              </w:rPr>
              <w:t>Indeks (%)</w:t>
            </w:r>
          </w:p>
        </w:tc>
      </w:tr>
      <w:tr w:rsidR="002660AA" w14:paraId="548BCAED" w14:textId="77777777">
        <w:tblPrEx>
          <w:tblCellMar>
            <w:top w:w="0" w:type="dxa"/>
            <w:bottom w:w="0" w:type="dxa"/>
          </w:tblCellMar>
        </w:tblPrEx>
        <w:trPr>
          <w:cantSplit/>
          <w:trHeight w:val="560"/>
        </w:trPr>
        <w:tc>
          <w:tcPr>
            <w:tcW w:w="700" w:type="dxa"/>
            <w:tcMar>
              <w:top w:w="0" w:type="dxa"/>
              <w:bottom w:w="0" w:type="dxa"/>
            </w:tcMar>
            <w:vAlign w:val="center"/>
          </w:tcPr>
          <w:p w14:paraId="474C6864" w14:textId="77777777" w:rsidR="002660AA" w:rsidRDefault="009B260F">
            <w:pPr>
              <w:keepNext/>
              <w:keepLines/>
              <w:spacing w:after="0" w:line="240" w:lineRule="auto"/>
            </w:pPr>
            <w:r>
              <w:rPr>
                <w:sz w:val="18"/>
              </w:rPr>
              <w:t>3722</w:t>
            </w:r>
          </w:p>
        </w:tc>
        <w:tc>
          <w:tcPr>
            <w:tcW w:w="3180" w:type="dxa"/>
            <w:tcMar>
              <w:top w:w="0" w:type="dxa"/>
              <w:bottom w:w="0" w:type="dxa"/>
            </w:tcMar>
            <w:vAlign w:val="center"/>
          </w:tcPr>
          <w:p w14:paraId="594DA549" w14:textId="77777777" w:rsidR="002660AA" w:rsidRDefault="009B260F">
            <w:pPr>
              <w:keepNext/>
              <w:keepLines/>
              <w:spacing w:after="0" w:line="240" w:lineRule="auto"/>
            </w:pPr>
            <w:r>
              <w:rPr>
                <w:sz w:val="18"/>
              </w:rPr>
              <w:t>Naknade građanima i kućanstvima u naravi</w:t>
            </w:r>
          </w:p>
        </w:tc>
        <w:tc>
          <w:tcPr>
            <w:tcW w:w="700" w:type="dxa"/>
            <w:tcMar>
              <w:top w:w="0" w:type="dxa"/>
              <w:bottom w:w="0" w:type="dxa"/>
            </w:tcMar>
            <w:vAlign w:val="center"/>
          </w:tcPr>
          <w:p w14:paraId="12CABD03" w14:textId="77777777" w:rsidR="002660AA" w:rsidRDefault="009B260F">
            <w:pPr>
              <w:keepNext/>
              <w:keepLines/>
              <w:spacing w:after="0" w:line="240" w:lineRule="auto"/>
            </w:pPr>
            <w:r>
              <w:rPr>
                <w:sz w:val="18"/>
              </w:rPr>
              <w:t>3722</w:t>
            </w:r>
          </w:p>
        </w:tc>
        <w:tc>
          <w:tcPr>
            <w:tcW w:w="1860" w:type="dxa"/>
            <w:tcMar>
              <w:top w:w="0" w:type="dxa"/>
              <w:bottom w:w="0" w:type="dxa"/>
            </w:tcMar>
            <w:vAlign w:val="center"/>
          </w:tcPr>
          <w:p w14:paraId="06C1C741" w14:textId="77777777" w:rsidR="002660AA" w:rsidRDefault="009B260F">
            <w:pPr>
              <w:keepNext/>
              <w:keepLines/>
              <w:spacing w:after="0" w:line="240" w:lineRule="auto"/>
              <w:jc w:val="right"/>
            </w:pPr>
            <w:r>
              <w:rPr>
                <w:sz w:val="18"/>
              </w:rPr>
              <w:t>809.732,52</w:t>
            </w:r>
          </w:p>
        </w:tc>
        <w:tc>
          <w:tcPr>
            <w:tcW w:w="1860" w:type="dxa"/>
            <w:tcMar>
              <w:top w:w="0" w:type="dxa"/>
              <w:bottom w:w="0" w:type="dxa"/>
            </w:tcMar>
            <w:vAlign w:val="center"/>
          </w:tcPr>
          <w:p w14:paraId="5305ADB4" w14:textId="77777777" w:rsidR="002660AA" w:rsidRDefault="009B260F">
            <w:pPr>
              <w:keepNext/>
              <w:keepLines/>
              <w:spacing w:after="0" w:line="240" w:lineRule="auto"/>
              <w:jc w:val="right"/>
            </w:pPr>
            <w:r>
              <w:rPr>
                <w:sz w:val="18"/>
              </w:rPr>
              <w:t>851.474,58</w:t>
            </w:r>
          </w:p>
        </w:tc>
        <w:tc>
          <w:tcPr>
            <w:tcW w:w="700" w:type="dxa"/>
            <w:tcMar>
              <w:top w:w="0" w:type="dxa"/>
              <w:bottom w:w="0" w:type="dxa"/>
            </w:tcMar>
            <w:vAlign w:val="center"/>
          </w:tcPr>
          <w:p w14:paraId="1BE5A8DC" w14:textId="77777777" w:rsidR="002660AA" w:rsidRDefault="009B260F">
            <w:pPr>
              <w:keepNext/>
              <w:keepLines/>
              <w:spacing w:after="0" w:line="240" w:lineRule="auto"/>
              <w:jc w:val="right"/>
            </w:pPr>
            <w:r>
              <w:rPr>
                <w:sz w:val="18"/>
              </w:rPr>
              <w:t>105,2</w:t>
            </w:r>
          </w:p>
        </w:tc>
      </w:tr>
    </w:tbl>
    <w:p w14:paraId="11F4B91F" w14:textId="77777777" w:rsidR="002660AA" w:rsidRDefault="002660AA">
      <w:pPr>
        <w:spacing w:after="0"/>
      </w:pPr>
    </w:p>
    <w:p w14:paraId="746E97A0" w14:textId="77777777" w:rsidR="002660AA" w:rsidRDefault="009B260F">
      <w:r>
        <w:t>Na ovom AOP-u bilježi se rast radi većih isplata u sklopu aktivnosti Pravo na podmirenje troškova pomoći u prehrani i Pomoć za  podmirenje troškova usluge pomoći u kući zbog povećanja broja korisnika i broja sati koji su na raspolaganju korisnicima.</w:t>
      </w:r>
    </w:p>
    <w:p w14:paraId="51BBCC43" w14:textId="77777777" w:rsidR="002660AA" w:rsidRDefault="002660AA"/>
    <w:p w14:paraId="2C97F8FD" w14:textId="77777777" w:rsidR="002660AA" w:rsidRDefault="009B260F">
      <w:pPr>
        <w:keepNext/>
        <w:spacing w:line="240" w:lineRule="auto"/>
        <w:jc w:val="center"/>
      </w:pPr>
      <w:r>
        <w:rPr>
          <w:sz w:val="28"/>
        </w:rPr>
        <w:t>Bilješka 65.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9958AA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D37C2C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F38F17D"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695190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EE32D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D20D09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EEE5DEA" w14:textId="77777777" w:rsidR="002660AA" w:rsidRDefault="009B260F">
            <w:pPr>
              <w:keepNext/>
              <w:keepLines/>
              <w:spacing w:after="0" w:line="240" w:lineRule="auto"/>
              <w:jc w:val="center"/>
            </w:pPr>
            <w:r>
              <w:rPr>
                <w:b/>
                <w:sz w:val="18"/>
              </w:rPr>
              <w:t>Indeks (%)</w:t>
            </w:r>
          </w:p>
        </w:tc>
      </w:tr>
      <w:tr w:rsidR="002660AA" w14:paraId="2F8A6180" w14:textId="77777777">
        <w:tblPrEx>
          <w:tblCellMar>
            <w:top w:w="0" w:type="dxa"/>
            <w:bottom w:w="0" w:type="dxa"/>
          </w:tblCellMar>
        </w:tblPrEx>
        <w:trPr>
          <w:cantSplit/>
          <w:trHeight w:val="560"/>
        </w:trPr>
        <w:tc>
          <w:tcPr>
            <w:tcW w:w="700" w:type="dxa"/>
            <w:tcMar>
              <w:top w:w="0" w:type="dxa"/>
              <w:bottom w:w="0" w:type="dxa"/>
            </w:tcMar>
            <w:vAlign w:val="center"/>
          </w:tcPr>
          <w:p w14:paraId="38F464A2" w14:textId="77777777" w:rsidR="002660AA" w:rsidRDefault="009B260F">
            <w:pPr>
              <w:keepNext/>
              <w:keepLines/>
              <w:spacing w:after="0" w:line="240" w:lineRule="auto"/>
            </w:pPr>
            <w:r>
              <w:rPr>
                <w:sz w:val="18"/>
              </w:rPr>
              <w:t>3811</w:t>
            </w:r>
          </w:p>
        </w:tc>
        <w:tc>
          <w:tcPr>
            <w:tcW w:w="3180" w:type="dxa"/>
            <w:tcMar>
              <w:top w:w="0" w:type="dxa"/>
              <w:bottom w:w="0" w:type="dxa"/>
            </w:tcMar>
            <w:vAlign w:val="center"/>
          </w:tcPr>
          <w:p w14:paraId="12C57764" w14:textId="77777777" w:rsidR="002660AA" w:rsidRDefault="009B260F">
            <w:pPr>
              <w:keepNext/>
              <w:keepLines/>
              <w:spacing w:after="0" w:line="240" w:lineRule="auto"/>
            </w:pPr>
            <w:r>
              <w:rPr>
                <w:sz w:val="18"/>
              </w:rPr>
              <w:t>Tekuće donacije u novcu</w:t>
            </w:r>
          </w:p>
        </w:tc>
        <w:tc>
          <w:tcPr>
            <w:tcW w:w="700" w:type="dxa"/>
            <w:tcMar>
              <w:top w:w="0" w:type="dxa"/>
              <w:bottom w:w="0" w:type="dxa"/>
            </w:tcMar>
            <w:vAlign w:val="center"/>
          </w:tcPr>
          <w:p w14:paraId="3C81F751" w14:textId="77777777" w:rsidR="002660AA" w:rsidRDefault="009B260F">
            <w:pPr>
              <w:keepNext/>
              <w:keepLines/>
              <w:spacing w:after="0" w:line="240" w:lineRule="auto"/>
            </w:pPr>
            <w:r>
              <w:rPr>
                <w:sz w:val="18"/>
              </w:rPr>
              <w:t>3811</w:t>
            </w:r>
          </w:p>
        </w:tc>
        <w:tc>
          <w:tcPr>
            <w:tcW w:w="1860" w:type="dxa"/>
            <w:tcMar>
              <w:top w:w="0" w:type="dxa"/>
              <w:bottom w:w="0" w:type="dxa"/>
            </w:tcMar>
            <w:vAlign w:val="center"/>
          </w:tcPr>
          <w:p w14:paraId="60F9BCE9" w14:textId="77777777" w:rsidR="002660AA" w:rsidRDefault="009B260F">
            <w:pPr>
              <w:keepNext/>
              <w:keepLines/>
              <w:spacing w:after="0" w:line="240" w:lineRule="auto"/>
              <w:jc w:val="right"/>
            </w:pPr>
            <w:r>
              <w:rPr>
                <w:sz w:val="18"/>
              </w:rPr>
              <w:t>3.345.247,91</w:t>
            </w:r>
          </w:p>
        </w:tc>
        <w:tc>
          <w:tcPr>
            <w:tcW w:w="1860" w:type="dxa"/>
            <w:tcMar>
              <w:top w:w="0" w:type="dxa"/>
              <w:bottom w:w="0" w:type="dxa"/>
            </w:tcMar>
            <w:vAlign w:val="center"/>
          </w:tcPr>
          <w:p w14:paraId="67D1125B" w14:textId="77777777" w:rsidR="002660AA" w:rsidRDefault="009B260F">
            <w:pPr>
              <w:keepNext/>
              <w:keepLines/>
              <w:spacing w:after="0" w:line="240" w:lineRule="auto"/>
              <w:jc w:val="right"/>
            </w:pPr>
            <w:r>
              <w:rPr>
                <w:sz w:val="18"/>
              </w:rPr>
              <w:t>3.972.122,35</w:t>
            </w:r>
          </w:p>
        </w:tc>
        <w:tc>
          <w:tcPr>
            <w:tcW w:w="700" w:type="dxa"/>
            <w:tcMar>
              <w:top w:w="0" w:type="dxa"/>
              <w:bottom w:w="0" w:type="dxa"/>
            </w:tcMar>
            <w:vAlign w:val="center"/>
          </w:tcPr>
          <w:p w14:paraId="5ABA137C" w14:textId="77777777" w:rsidR="002660AA" w:rsidRDefault="009B260F">
            <w:pPr>
              <w:keepNext/>
              <w:keepLines/>
              <w:spacing w:after="0" w:line="240" w:lineRule="auto"/>
              <w:jc w:val="right"/>
            </w:pPr>
            <w:r>
              <w:rPr>
                <w:sz w:val="18"/>
              </w:rPr>
              <w:t>118,7</w:t>
            </w:r>
          </w:p>
        </w:tc>
      </w:tr>
    </w:tbl>
    <w:p w14:paraId="6ACB4317" w14:textId="77777777" w:rsidR="002660AA" w:rsidRDefault="002660AA">
      <w:pPr>
        <w:spacing w:after="0"/>
      </w:pPr>
    </w:p>
    <w:p w14:paraId="12D9B029" w14:textId="77777777" w:rsidR="002660AA" w:rsidRDefault="009B260F">
      <w:r>
        <w:t>Porast se prvenstveno odnosi na veće stransfere Zajednici športskih udruga grada Koprivnice.</w:t>
      </w:r>
    </w:p>
    <w:p w14:paraId="4447D076" w14:textId="77777777" w:rsidR="002660AA" w:rsidRDefault="002660AA"/>
    <w:p w14:paraId="12152838" w14:textId="77777777" w:rsidR="002660AA" w:rsidRDefault="009B260F">
      <w:pPr>
        <w:keepNext/>
        <w:spacing w:line="240" w:lineRule="auto"/>
        <w:jc w:val="center"/>
      </w:pPr>
      <w:r>
        <w:rPr>
          <w:sz w:val="28"/>
        </w:rPr>
        <w:t>Bilješka 66.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177E25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0B4AEA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E9D335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FC7F91C"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5AC72D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3BEDA3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BC5E1E5" w14:textId="77777777" w:rsidR="002660AA" w:rsidRDefault="009B260F">
            <w:pPr>
              <w:keepNext/>
              <w:keepLines/>
              <w:spacing w:after="0" w:line="240" w:lineRule="auto"/>
              <w:jc w:val="center"/>
            </w:pPr>
            <w:r>
              <w:rPr>
                <w:b/>
                <w:sz w:val="18"/>
              </w:rPr>
              <w:t>Indeks (%)</w:t>
            </w:r>
          </w:p>
        </w:tc>
      </w:tr>
      <w:tr w:rsidR="002660AA" w14:paraId="5CB957E8" w14:textId="77777777">
        <w:tblPrEx>
          <w:tblCellMar>
            <w:top w:w="0" w:type="dxa"/>
            <w:bottom w:w="0" w:type="dxa"/>
          </w:tblCellMar>
        </w:tblPrEx>
        <w:trPr>
          <w:cantSplit/>
          <w:trHeight w:val="560"/>
        </w:trPr>
        <w:tc>
          <w:tcPr>
            <w:tcW w:w="700" w:type="dxa"/>
            <w:tcMar>
              <w:top w:w="0" w:type="dxa"/>
              <w:bottom w:w="0" w:type="dxa"/>
            </w:tcMar>
            <w:vAlign w:val="center"/>
          </w:tcPr>
          <w:p w14:paraId="4F32D668" w14:textId="77777777" w:rsidR="002660AA" w:rsidRDefault="009B260F">
            <w:pPr>
              <w:keepNext/>
              <w:keepLines/>
              <w:spacing w:after="0" w:line="240" w:lineRule="auto"/>
            </w:pPr>
            <w:r>
              <w:rPr>
                <w:sz w:val="18"/>
              </w:rPr>
              <w:t>3812</w:t>
            </w:r>
          </w:p>
        </w:tc>
        <w:tc>
          <w:tcPr>
            <w:tcW w:w="3180" w:type="dxa"/>
            <w:tcMar>
              <w:top w:w="0" w:type="dxa"/>
              <w:bottom w:w="0" w:type="dxa"/>
            </w:tcMar>
            <w:vAlign w:val="center"/>
          </w:tcPr>
          <w:p w14:paraId="6C583376" w14:textId="77777777" w:rsidR="002660AA" w:rsidRDefault="009B260F">
            <w:pPr>
              <w:keepNext/>
              <w:keepLines/>
              <w:spacing w:after="0" w:line="240" w:lineRule="auto"/>
            </w:pPr>
            <w:r>
              <w:rPr>
                <w:sz w:val="18"/>
              </w:rPr>
              <w:t>Tekuće donacije u naravi</w:t>
            </w:r>
          </w:p>
        </w:tc>
        <w:tc>
          <w:tcPr>
            <w:tcW w:w="700" w:type="dxa"/>
            <w:tcMar>
              <w:top w:w="0" w:type="dxa"/>
              <w:bottom w:w="0" w:type="dxa"/>
            </w:tcMar>
            <w:vAlign w:val="center"/>
          </w:tcPr>
          <w:p w14:paraId="0EBB3459" w14:textId="77777777" w:rsidR="002660AA" w:rsidRDefault="009B260F">
            <w:pPr>
              <w:keepNext/>
              <w:keepLines/>
              <w:spacing w:after="0" w:line="240" w:lineRule="auto"/>
            </w:pPr>
            <w:r>
              <w:rPr>
                <w:sz w:val="18"/>
              </w:rPr>
              <w:t>3812</w:t>
            </w:r>
          </w:p>
        </w:tc>
        <w:tc>
          <w:tcPr>
            <w:tcW w:w="1860" w:type="dxa"/>
            <w:tcMar>
              <w:top w:w="0" w:type="dxa"/>
              <w:bottom w:w="0" w:type="dxa"/>
            </w:tcMar>
            <w:vAlign w:val="center"/>
          </w:tcPr>
          <w:p w14:paraId="3ED40530" w14:textId="77777777" w:rsidR="002660AA" w:rsidRDefault="009B260F">
            <w:pPr>
              <w:keepNext/>
              <w:keepLines/>
              <w:spacing w:after="0" w:line="240" w:lineRule="auto"/>
              <w:jc w:val="right"/>
            </w:pPr>
            <w:r>
              <w:rPr>
                <w:sz w:val="18"/>
              </w:rPr>
              <w:t>178.690,99</w:t>
            </w:r>
          </w:p>
        </w:tc>
        <w:tc>
          <w:tcPr>
            <w:tcW w:w="1860" w:type="dxa"/>
            <w:tcMar>
              <w:top w:w="0" w:type="dxa"/>
              <w:bottom w:w="0" w:type="dxa"/>
            </w:tcMar>
            <w:vAlign w:val="center"/>
          </w:tcPr>
          <w:p w14:paraId="66D7C785" w14:textId="77777777" w:rsidR="002660AA" w:rsidRDefault="009B260F">
            <w:pPr>
              <w:keepNext/>
              <w:keepLines/>
              <w:spacing w:after="0" w:line="240" w:lineRule="auto"/>
              <w:jc w:val="right"/>
            </w:pPr>
            <w:r>
              <w:rPr>
                <w:sz w:val="18"/>
              </w:rPr>
              <w:t>372.979,85</w:t>
            </w:r>
          </w:p>
        </w:tc>
        <w:tc>
          <w:tcPr>
            <w:tcW w:w="700" w:type="dxa"/>
            <w:tcMar>
              <w:top w:w="0" w:type="dxa"/>
              <w:bottom w:w="0" w:type="dxa"/>
            </w:tcMar>
            <w:vAlign w:val="center"/>
          </w:tcPr>
          <w:p w14:paraId="7F0E2549" w14:textId="77777777" w:rsidR="002660AA" w:rsidRDefault="009B260F">
            <w:pPr>
              <w:keepNext/>
              <w:keepLines/>
              <w:spacing w:after="0" w:line="240" w:lineRule="auto"/>
              <w:jc w:val="right"/>
            </w:pPr>
            <w:r>
              <w:rPr>
                <w:sz w:val="18"/>
              </w:rPr>
              <w:t>208,7</w:t>
            </w:r>
          </w:p>
        </w:tc>
      </w:tr>
    </w:tbl>
    <w:p w14:paraId="4D6E38D2" w14:textId="77777777" w:rsidR="002660AA" w:rsidRDefault="002660AA">
      <w:pPr>
        <w:spacing w:after="0"/>
      </w:pPr>
    </w:p>
    <w:p w14:paraId="1886AC74" w14:textId="77777777" w:rsidR="002660AA" w:rsidRDefault="009B260F">
      <w:r>
        <w:t>Porast je vezan uz isplate sredstava za fiskalnu održivost privatnim dječjim vrtićima.</w:t>
      </w:r>
    </w:p>
    <w:p w14:paraId="0192A1A8" w14:textId="77777777" w:rsidR="002660AA" w:rsidRDefault="002660AA"/>
    <w:p w14:paraId="71505064" w14:textId="77777777" w:rsidR="002660AA" w:rsidRDefault="009B260F">
      <w:pPr>
        <w:keepNext/>
        <w:spacing w:line="240" w:lineRule="auto"/>
        <w:jc w:val="center"/>
      </w:pPr>
      <w:r>
        <w:rPr>
          <w:sz w:val="28"/>
        </w:rPr>
        <w:t>Bilješka 67.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B96440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1290C8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ED29AB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085579C"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67ED74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B16D12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562D51C" w14:textId="77777777" w:rsidR="002660AA" w:rsidRDefault="009B260F">
            <w:pPr>
              <w:keepNext/>
              <w:keepLines/>
              <w:spacing w:after="0" w:line="240" w:lineRule="auto"/>
              <w:jc w:val="center"/>
            </w:pPr>
            <w:r>
              <w:rPr>
                <w:b/>
                <w:sz w:val="18"/>
              </w:rPr>
              <w:t>Indeks (%)</w:t>
            </w:r>
          </w:p>
        </w:tc>
      </w:tr>
      <w:tr w:rsidR="002660AA" w14:paraId="52EC8EB7" w14:textId="77777777">
        <w:tblPrEx>
          <w:tblCellMar>
            <w:top w:w="0" w:type="dxa"/>
            <w:bottom w:w="0" w:type="dxa"/>
          </w:tblCellMar>
        </w:tblPrEx>
        <w:trPr>
          <w:cantSplit/>
          <w:trHeight w:val="560"/>
        </w:trPr>
        <w:tc>
          <w:tcPr>
            <w:tcW w:w="700" w:type="dxa"/>
            <w:tcMar>
              <w:top w:w="0" w:type="dxa"/>
              <w:bottom w:w="0" w:type="dxa"/>
            </w:tcMar>
            <w:vAlign w:val="center"/>
          </w:tcPr>
          <w:p w14:paraId="1EBC8481" w14:textId="77777777" w:rsidR="002660AA" w:rsidRDefault="009B260F">
            <w:pPr>
              <w:keepNext/>
              <w:keepLines/>
              <w:spacing w:after="0" w:line="240" w:lineRule="auto"/>
            </w:pPr>
            <w:r>
              <w:rPr>
                <w:sz w:val="18"/>
              </w:rPr>
              <w:t>3813</w:t>
            </w:r>
          </w:p>
        </w:tc>
        <w:tc>
          <w:tcPr>
            <w:tcW w:w="3180" w:type="dxa"/>
            <w:tcMar>
              <w:top w:w="0" w:type="dxa"/>
              <w:bottom w:w="0" w:type="dxa"/>
            </w:tcMar>
            <w:vAlign w:val="center"/>
          </w:tcPr>
          <w:p w14:paraId="41341909" w14:textId="77777777" w:rsidR="002660AA" w:rsidRDefault="009B260F">
            <w:pPr>
              <w:keepNext/>
              <w:keepLines/>
              <w:spacing w:after="0" w:line="240" w:lineRule="auto"/>
            </w:pPr>
            <w:r>
              <w:rPr>
                <w:sz w:val="18"/>
              </w:rPr>
              <w:t>Tekuće donacije iz EU sredstava</w:t>
            </w:r>
          </w:p>
        </w:tc>
        <w:tc>
          <w:tcPr>
            <w:tcW w:w="700" w:type="dxa"/>
            <w:tcMar>
              <w:top w:w="0" w:type="dxa"/>
              <w:bottom w:w="0" w:type="dxa"/>
            </w:tcMar>
            <w:vAlign w:val="center"/>
          </w:tcPr>
          <w:p w14:paraId="06B155C0" w14:textId="77777777" w:rsidR="002660AA" w:rsidRDefault="009B260F">
            <w:pPr>
              <w:keepNext/>
              <w:keepLines/>
              <w:spacing w:after="0" w:line="240" w:lineRule="auto"/>
            </w:pPr>
            <w:r>
              <w:rPr>
                <w:sz w:val="18"/>
              </w:rPr>
              <w:t>3813</w:t>
            </w:r>
          </w:p>
        </w:tc>
        <w:tc>
          <w:tcPr>
            <w:tcW w:w="1860" w:type="dxa"/>
            <w:tcMar>
              <w:top w:w="0" w:type="dxa"/>
              <w:bottom w:w="0" w:type="dxa"/>
            </w:tcMar>
            <w:vAlign w:val="center"/>
          </w:tcPr>
          <w:p w14:paraId="5C33544E"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38361EF6" w14:textId="77777777" w:rsidR="002660AA" w:rsidRDefault="009B260F">
            <w:pPr>
              <w:keepNext/>
              <w:keepLines/>
              <w:spacing w:after="0" w:line="240" w:lineRule="auto"/>
              <w:jc w:val="right"/>
            </w:pPr>
            <w:r>
              <w:rPr>
                <w:sz w:val="18"/>
              </w:rPr>
              <w:t>9.910,00</w:t>
            </w:r>
          </w:p>
        </w:tc>
        <w:tc>
          <w:tcPr>
            <w:tcW w:w="700" w:type="dxa"/>
            <w:tcMar>
              <w:top w:w="0" w:type="dxa"/>
              <w:bottom w:w="0" w:type="dxa"/>
            </w:tcMar>
            <w:vAlign w:val="center"/>
          </w:tcPr>
          <w:p w14:paraId="0F4E890E" w14:textId="77777777" w:rsidR="002660AA" w:rsidRDefault="009B260F">
            <w:pPr>
              <w:keepNext/>
              <w:keepLines/>
              <w:spacing w:after="0" w:line="240" w:lineRule="auto"/>
              <w:jc w:val="right"/>
            </w:pPr>
            <w:r>
              <w:rPr>
                <w:sz w:val="18"/>
              </w:rPr>
              <w:t>-</w:t>
            </w:r>
          </w:p>
        </w:tc>
      </w:tr>
    </w:tbl>
    <w:p w14:paraId="582BD7E6" w14:textId="77777777" w:rsidR="002660AA" w:rsidRDefault="002660AA">
      <w:pPr>
        <w:spacing w:after="0"/>
      </w:pPr>
    </w:p>
    <w:p w14:paraId="25066F18" w14:textId="77777777" w:rsidR="002660AA" w:rsidRDefault="009B260F">
      <w:r>
        <w:t>Riječ je o isplati sredstava partneru u projektu OneSun u sklopu kojeg je Grad instalirao solarne panele na školama u svom vlasništvu.</w:t>
      </w:r>
    </w:p>
    <w:p w14:paraId="02E0ABB6" w14:textId="77777777" w:rsidR="002660AA" w:rsidRDefault="002660AA"/>
    <w:p w14:paraId="00281D3E" w14:textId="77777777" w:rsidR="002660AA" w:rsidRDefault="009B260F">
      <w:pPr>
        <w:keepNext/>
        <w:spacing w:line="240" w:lineRule="auto"/>
        <w:jc w:val="center"/>
      </w:pPr>
      <w:r>
        <w:rPr>
          <w:sz w:val="28"/>
        </w:rPr>
        <w:t>Bilješka 68.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139EB6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DF688E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5EDD07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F6224D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32B2E6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A9F31E1"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8495B22" w14:textId="77777777" w:rsidR="002660AA" w:rsidRDefault="009B260F">
            <w:pPr>
              <w:keepNext/>
              <w:keepLines/>
              <w:spacing w:after="0" w:line="240" w:lineRule="auto"/>
              <w:jc w:val="center"/>
            </w:pPr>
            <w:r>
              <w:rPr>
                <w:b/>
                <w:sz w:val="18"/>
              </w:rPr>
              <w:t>Indeks (%)</w:t>
            </w:r>
          </w:p>
        </w:tc>
      </w:tr>
      <w:tr w:rsidR="002660AA" w14:paraId="723167E0" w14:textId="77777777">
        <w:tblPrEx>
          <w:tblCellMar>
            <w:top w:w="0" w:type="dxa"/>
            <w:bottom w:w="0" w:type="dxa"/>
          </w:tblCellMar>
        </w:tblPrEx>
        <w:trPr>
          <w:cantSplit/>
          <w:trHeight w:val="560"/>
        </w:trPr>
        <w:tc>
          <w:tcPr>
            <w:tcW w:w="700" w:type="dxa"/>
            <w:tcMar>
              <w:top w:w="0" w:type="dxa"/>
              <w:bottom w:w="0" w:type="dxa"/>
            </w:tcMar>
            <w:vAlign w:val="center"/>
          </w:tcPr>
          <w:p w14:paraId="26080C1C" w14:textId="77777777" w:rsidR="002660AA" w:rsidRDefault="009B260F">
            <w:pPr>
              <w:keepNext/>
              <w:keepLines/>
              <w:spacing w:after="0" w:line="240" w:lineRule="auto"/>
            </w:pPr>
            <w:r>
              <w:rPr>
                <w:sz w:val="18"/>
              </w:rPr>
              <w:t>3821</w:t>
            </w:r>
          </w:p>
        </w:tc>
        <w:tc>
          <w:tcPr>
            <w:tcW w:w="3180" w:type="dxa"/>
            <w:tcMar>
              <w:top w:w="0" w:type="dxa"/>
              <w:bottom w:w="0" w:type="dxa"/>
            </w:tcMar>
            <w:vAlign w:val="center"/>
          </w:tcPr>
          <w:p w14:paraId="1DC54B2B" w14:textId="77777777" w:rsidR="002660AA" w:rsidRDefault="009B260F">
            <w:pPr>
              <w:keepNext/>
              <w:keepLines/>
              <w:spacing w:after="0" w:line="240" w:lineRule="auto"/>
            </w:pPr>
            <w:r>
              <w:rPr>
                <w:sz w:val="18"/>
              </w:rPr>
              <w:t>Kapitalne donacije neprofitnim organizacijama</w:t>
            </w:r>
          </w:p>
        </w:tc>
        <w:tc>
          <w:tcPr>
            <w:tcW w:w="700" w:type="dxa"/>
            <w:tcMar>
              <w:top w:w="0" w:type="dxa"/>
              <w:bottom w:w="0" w:type="dxa"/>
            </w:tcMar>
            <w:vAlign w:val="center"/>
          </w:tcPr>
          <w:p w14:paraId="34E16A0E" w14:textId="77777777" w:rsidR="002660AA" w:rsidRDefault="009B260F">
            <w:pPr>
              <w:keepNext/>
              <w:keepLines/>
              <w:spacing w:after="0" w:line="240" w:lineRule="auto"/>
            </w:pPr>
            <w:r>
              <w:rPr>
                <w:sz w:val="18"/>
              </w:rPr>
              <w:t>3821</w:t>
            </w:r>
          </w:p>
        </w:tc>
        <w:tc>
          <w:tcPr>
            <w:tcW w:w="1860" w:type="dxa"/>
            <w:tcMar>
              <w:top w:w="0" w:type="dxa"/>
              <w:bottom w:w="0" w:type="dxa"/>
            </w:tcMar>
            <w:vAlign w:val="center"/>
          </w:tcPr>
          <w:p w14:paraId="46AE6A79" w14:textId="77777777" w:rsidR="002660AA" w:rsidRDefault="009B260F">
            <w:pPr>
              <w:keepNext/>
              <w:keepLines/>
              <w:spacing w:after="0" w:line="240" w:lineRule="auto"/>
              <w:jc w:val="right"/>
            </w:pPr>
            <w:r>
              <w:rPr>
                <w:sz w:val="18"/>
              </w:rPr>
              <w:t>170.290,00</w:t>
            </w:r>
          </w:p>
        </w:tc>
        <w:tc>
          <w:tcPr>
            <w:tcW w:w="1860" w:type="dxa"/>
            <w:tcMar>
              <w:top w:w="0" w:type="dxa"/>
              <w:bottom w:w="0" w:type="dxa"/>
            </w:tcMar>
            <w:vAlign w:val="center"/>
          </w:tcPr>
          <w:p w14:paraId="2C377BD0" w14:textId="77777777" w:rsidR="002660AA" w:rsidRDefault="009B260F">
            <w:pPr>
              <w:keepNext/>
              <w:keepLines/>
              <w:spacing w:after="0" w:line="240" w:lineRule="auto"/>
              <w:jc w:val="right"/>
            </w:pPr>
            <w:r>
              <w:rPr>
                <w:sz w:val="18"/>
              </w:rPr>
              <w:t>417.762,85</w:t>
            </w:r>
          </w:p>
        </w:tc>
        <w:tc>
          <w:tcPr>
            <w:tcW w:w="700" w:type="dxa"/>
            <w:tcMar>
              <w:top w:w="0" w:type="dxa"/>
              <w:bottom w:w="0" w:type="dxa"/>
            </w:tcMar>
            <w:vAlign w:val="center"/>
          </w:tcPr>
          <w:p w14:paraId="6795A03E" w14:textId="77777777" w:rsidR="002660AA" w:rsidRDefault="009B260F">
            <w:pPr>
              <w:keepNext/>
              <w:keepLines/>
              <w:spacing w:after="0" w:line="240" w:lineRule="auto"/>
              <w:jc w:val="right"/>
            </w:pPr>
            <w:r>
              <w:rPr>
                <w:sz w:val="18"/>
              </w:rPr>
              <w:t>245,3</w:t>
            </w:r>
          </w:p>
        </w:tc>
      </w:tr>
    </w:tbl>
    <w:p w14:paraId="6C6AF827" w14:textId="77777777" w:rsidR="002660AA" w:rsidRDefault="002660AA">
      <w:pPr>
        <w:spacing w:after="0"/>
      </w:pPr>
    </w:p>
    <w:p w14:paraId="5EBEF311" w14:textId="77777777" w:rsidR="002660AA" w:rsidRDefault="009B260F">
      <w:r>
        <w:t>Do rasta je došlo radi sufinanciranje izgradnje vatrogasnog spremišta  Jagnjedovcu.</w:t>
      </w:r>
    </w:p>
    <w:p w14:paraId="5E7FB99A" w14:textId="77777777" w:rsidR="002660AA" w:rsidRDefault="002660AA"/>
    <w:p w14:paraId="65002E65" w14:textId="77777777" w:rsidR="002660AA" w:rsidRDefault="009B260F">
      <w:pPr>
        <w:keepNext/>
        <w:spacing w:line="240" w:lineRule="auto"/>
        <w:jc w:val="center"/>
      </w:pPr>
      <w:r>
        <w:rPr>
          <w:sz w:val="28"/>
        </w:rPr>
        <w:t>Bilješka 69.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7648E4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300D6A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2375EB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13A80F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C71F9FE"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B90479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9172147" w14:textId="77777777" w:rsidR="002660AA" w:rsidRDefault="009B260F">
            <w:pPr>
              <w:keepNext/>
              <w:keepLines/>
              <w:spacing w:after="0" w:line="240" w:lineRule="auto"/>
              <w:jc w:val="center"/>
            </w:pPr>
            <w:r>
              <w:rPr>
                <w:b/>
                <w:sz w:val="18"/>
              </w:rPr>
              <w:t>Indeks (%)</w:t>
            </w:r>
          </w:p>
        </w:tc>
      </w:tr>
      <w:tr w:rsidR="002660AA" w14:paraId="6A579E70" w14:textId="77777777">
        <w:tblPrEx>
          <w:tblCellMar>
            <w:top w:w="0" w:type="dxa"/>
            <w:bottom w:w="0" w:type="dxa"/>
          </w:tblCellMar>
        </w:tblPrEx>
        <w:trPr>
          <w:cantSplit/>
          <w:trHeight w:val="560"/>
        </w:trPr>
        <w:tc>
          <w:tcPr>
            <w:tcW w:w="700" w:type="dxa"/>
            <w:tcMar>
              <w:top w:w="0" w:type="dxa"/>
              <w:bottom w:w="0" w:type="dxa"/>
            </w:tcMar>
            <w:vAlign w:val="center"/>
          </w:tcPr>
          <w:p w14:paraId="27B288A4" w14:textId="77777777" w:rsidR="002660AA" w:rsidRDefault="009B260F">
            <w:pPr>
              <w:keepNext/>
              <w:keepLines/>
              <w:spacing w:after="0" w:line="240" w:lineRule="auto"/>
            </w:pPr>
            <w:r>
              <w:rPr>
                <w:sz w:val="18"/>
              </w:rPr>
              <w:t>3831</w:t>
            </w:r>
          </w:p>
        </w:tc>
        <w:tc>
          <w:tcPr>
            <w:tcW w:w="3180" w:type="dxa"/>
            <w:tcMar>
              <w:top w:w="0" w:type="dxa"/>
              <w:bottom w:w="0" w:type="dxa"/>
            </w:tcMar>
            <w:vAlign w:val="center"/>
          </w:tcPr>
          <w:p w14:paraId="0730CF6D" w14:textId="77777777" w:rsidR="002660AA" w:rsidRDefault="009B260F">
            <w:pPr>
              <w:keepNext/>
              <w:keepLines/>
              <w:spacing w:after="0" w:line="240" w:lineRule="auto"/>
            </w:pPr>
            <w:r>
              <w:rPr>
                <w:sz w:val="18"/>
              </w:rPr>
              <w:t>Naknade šteta pravnim i fizičkim osobama</w:t>
            </w:r>
          </w:p>
        </w:tc>
        <w:tc>
          <w:tcPr>
            <w:tcW w:w="700" w:type="dxa"/>
            <w:tcMar>
              <w:top w:w="0" w:type="dxa"/>
              <w:bottom w:w="0" w:type="dxa"/>
            </w:tcMar>
            <w:vAlign w:val="center"/>
          </w:tcPr>
          <w:p w14:paraId="769245E3" w14:textId="77777777" w:rsidR="002660AA" w:rsidRDefault="009B260F">
            <w:pPr>
              <w:keepNext/>
              <w:keepLines/>
              <w:spacing w:after="0" w:line="240" w:lineRule="auto"/>
            </w:pPr>
            <w:r>
              <w:rPr>
                <w:sz w:val="18"/>
              </w:rPr>
              <w:t>3831</w:t>
            </w:r>
          </w:p>
        </w:tc>
        <w:tc>
          <w:tcPr>
            <w:tcW w:w="1860" w:type="dxa"/>
            <w:tcMar>
              <w:top w:w="0" w:type="dxa"/>
              <w:bottom w:w="0" w:type="dxa"/>
            </w:tcMar>
            <w:vAlign w:val="center"/>
          </w:tcPr>
          <w:p w14:paraId="649005A1"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0434EE8C" w14:textId="77777777" w:rsidR="002660AA" w:rsidRDefault="009B260F">
            <w:pPr>
              <w:keepNext/>
              <w:keepLines/>
              <w:spacing w:after="0" w:line="240" w:lineRule="auto"/>
              <w:jc w:val="right"/>
            </w:pPr>
            <w:r>
              <w:rPr>
                <w:sz w:val="18"/>
              </w:rPr>
              <w:t>248,30</w:t>
            </w:r>
          </w:p>
        </w:tc>
        <w:tc>
          <w:tcPr>
            <w:tcW w:w="700" w:type="dxa"/>
            <w:tcMar>
              <w:top w:w="0" w:type="dxa"/>
              <w:bottom w:w="0" w:type="dxa"/>
            </w:tcMar>
            <w:vAlign w:val="center"/>
          </w:tcPr>
          <w:p w14:paraId="7DB02A67" w14:textId="77777777" w:rsidR="002660AA" w:rsidRDefault="009B260F">
            <w:pPr>
              <w:keepNext/>
              <w:keepLines/>
              <w:spacing w:after="0" w:line="240" w:lineRule="auto"/>
              <w:jc w:val="right"/>
            </w:pPr>
            <w:r>
              <w:rPr>
                <w:sz w:val="18"/>
              </w:rPr>
              <w:t>-</w:t>
            </w:r>
          </w:p>
        </w:tc>
      </w:tr>
    </w:tbl>
    <w:p w14:paraId="3E66139E" w14:textId="77777777" w:rsidR="002660AA" w:rsidRDefault="002660AA">
      <w:pPr>
        <w:spacing w:after="0"/>
      </w:pPr>
    </w:p>
    <w:p w14:paraId="6D0B6192" w14:textId="77777777" w:rsidR="002660AA" w:rsidRDefault="009B260F">
      <w:r>
        <w:t>Riječ je o isplati nakande za elemantarnu nepogodu.</w:t>
      </w:r>
    </w:p>
    <w:p w14:paraId="68AB21B0" w14:textId="77777777" w:rsidR="002660AA" w:rsidRDefault="002660AA"/>
    <w:p w14:paraId="08383C53" w14:textId="77777777" w:rsidR="002660AA" w:rsidRDefault="009B260F">
      <w:pPr>
        <w:keepNext/>
        <w:spacing w:line="240" w:lineRule="auto"/>
        <w:jc w:val="center"/>
      </w:pPr>
      <w:r>
        <w:rPr>
          <w:sz w:val="28"/>
        </w:rPr>
        <w:t>Bilješka 70.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E69389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06EF86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C3C160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825F49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324396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FBB701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4C75734" w14:textId="77777777" w:rsidR="002660AA" w:rsidRDefault="009B260F">
            <w:pPr>
              <w:keepNext/>
              <w:keepLines/>
              <w:spacing w:after="0" w:line="240" w:lineRule="auto"/>
              <w:jc w:val="center"/>
            </w:pPr>
            <w:r>
              <w:rPr>
                <w:b/>
                <w:sz w:val="18"/>
              </w:rPr>
              <w:t>Indeks (%)</w:t>
            </w:r>
          </w:p>
        </w:tc>
      </w:tr>
      <w:tr w:rsidR="002660AA" w14:paraId="7A818B16" w14:textId="77777777">
        <w:tblPrEx>
          <w:tblCellMar>
            <w:top w:w="0" w:type="dxa"/>
            <w:bottom w:w="0" w:type="dxa"/>
          </w:tblCellMar>
        </w:tblPrEx>
        <w:trPr>
          <w:cantSplit/>
          <w:trHeight w:val="560"/>
        </w:trPr>
        <w:tc>
          <w:tcPr>
            <w:tcW w:w="700" w:type="dxa"/>
            <w:tcMar>
              <w:top w:w="0" w:type="dxa"/>
              <w:bottom w:w="0" w:type="dxa"/>
            </w:tcMar>
            <w:vAlign w:val="center"/>
          </w:tcPr>
          <w:p w14:paraId="05ADA6E5" w14:textId="77777777" w:rsidR="002660AA" w:rsidRDefault="009B260F">
            <w:pPr>
              <w:keepNext/>
              <w:keepLines/>
              <w:spacing w:after="0" w:line="240" w:lineRule="auto"/>
            </w:pPr>
            <w:r>
              <w:rPr>
                <w:sz w:val="18"/>
              </w:rPr>
              <w:t>3861</w:t>
            </w:r>
          </w:p>
        </w:tc>
        <w:tc>
          <w:tcPr>
            <w:tcW w:w="3180" w:type="dxa"/>
            <w:tcMar>
              <w:top w:w="0" w:type="dxa"/>
              <w:bottom w:w="0" w:type="dxa"/>
            </w:tcMar>
            <w:vAlign w:val="center"/>
          </w:tcPr>
          <w:p w14:paraId="71E85A15" w14:textId="77777777" w:rsidR="002660AA" w:rsidRDefault="009B260F">
            <w:pPr>
              <w:keepNext/>
              <w:keepLines/>
              <w:spacing w:after="0" w:line="240" w:lineRule="auto"/>
            </w:pPr>
            <w:r>
              <w:rPr>
                <w:sz w:val="18"/>
              </w:rPr>
              <w:t>Kapitalne pomoći kreditnim i ostalim financijskim institucijama te trgovačkim društvima u javnom sektoru</w:t>
            </w:r>
          </w:p>
        </w:tc>
        <w:tc>
          <w:tcPr>
            <w:tcW w:w="700" w:type="dxa"/>
            <w:tcMar>
              <w:top w:w="0" w:type="dxa"/>
              <w:bottom w:w="0" w:type="dxa"/>
            </w:tcMar>
            <w:vAlign w:val="center"/>
          </w:tcPr>
          <w:p w14:paraId="79D4CEFD" w14:textId="77777777" w:rsidR="002660AA" w:rsidRDefault="009B260F">
            <w:pPr>
              <w:keepNext/>
              <w:keepLines/>
              <w:spacing w:after="0" w:line="240" w:lineRule="auto"/>
            </w:pPr>
            <w:r>
              <w:rPr>
                <w:sz w:val="18"/>
              </w:rPr>
              <w:t>3861</w:t>
            </w:r>
          </w:p>
        </w:tc>
        <w:tc>
          <w:tcPr>
            <w:tcW w:w="1860" w:type="dxa"/>
            <w:tcMar>
              <w:top w:w="0" w:type="dxa"/>
              <w:bottom w:w="0" w:type="dxa"/>
            </w:tcMar>
            <w:vAlign w:val="center"/>
          </w:tcPr>
          <w:p w14:paraId="7415A762" w14:textId="77777777" w:rsidR="002660AA" w:rsidRDefault="009B260F">
            <w:pPr>
              <w:keepNext/>
              <w:keepLines/>
              <w:spacing w:after="0" w:line="240" w:lineRule="auto"/>
              <w:jc w:val="right"/>
            </w:pPr>
            <w:r>
              <w:rPr>
                <w:sz w:val="18"/>
              </w:rPr>
              <w:t>763.424,48</w:t>
            </w:r>
          </w:p>
        </w:tc>
        <w:tc>
          <w:tcPr>
            <w:tcW w:w="1860" w:type="dxa"/>
            <w:tcMar>
              <w:top w:w="0" w:type="dxa"/>
              <w:bottom w:w="0" w:type="dxa"/>
            </w:tcMar>
            <w:vAlign w:val="center"/>
          </w:tcPr>
          <w:p w14:paraId="7DC354F5" w14:textId="77777777" w:rsidR="002660AA" w:rsidRDefault="009B260F">
            <w:pPr>
              <w:keepNext/>
              <w:keepLines/>
              <w:spacing w:after="0" w:line="240" w:lineRule="auto"/>
              <w:jc w:val="right"/>
            </w:pPr>
            <w:r>
              <w:rPr>
                <w:sz w:val="18"/>
              </w:rPr>
              <w:t>676.510,40</w:t>
            </w:r>
          </w:p>
        </w:tc>
        <w:tc>
          <w:tcPr>
            <w:tcW w:w="700" w:type="dxa"/>
            <w:tcMar>
              <w:top w:w="0" w:type="dxa"/>
              <w:bottom w:w="0" w:type="dxa"/>
            </w:tcMar>
            <w:vAlign w:val="center"/>
          </w:tcPr>
          <w:p w14:paraId="499F2CAB" w14:textId="77777777" w:rsidR="002660AA" w:rsidRDefault="009B260F">
            <w:pPr>
              <w:keepNext/>
              <w:keepLines/>
              <w:spacing w:after="0" w:line="240" w:lineRule="auto"/>
              <w:jc w:val="right"/>
            </w:pPr>
            <w:r>
              <w:rPr>
                <w:sz w:val="18"/>
              </w:rPr>
              <w:t>88,6</w:t>
            </w:r>
          </w:p>
        </w:tc>
      </w:tr>
    </w:tbl>
    <w:p w14:paraId="56C1CB91" w14:textId="77777777" w:rsidR="002660AA" w:rsidRDefault="002660AA">
      <w:pPr>
        <w:spacing w:after="0"/>
      </w:pPr>
    </w:p>
    <w:p w14:paraId="63AB6E30" w14:textId="77777777" w:rsidR="002660AA" w:rsidRDefault="009B260F">
      <w:r>
        <w:t>Grad je trgovačkom društvu u svom vlasništvu isplatio manje kapitalnih pomoći za sportske objekte.</w:t>
      </w:r>
    </w:p>
    <w:p w14:paraId="42AF1296" w14:textId="77777777" w:rsidR="002660AA" w:rsidRDefault="002660AA"/>
    <w:p w14:paraId="5168D497" w14:textId="77777777" w:rsidR="002660AA" w:rsidRDefault="009B260F">
      <w:pPr>
        <w:keepNext/>
        <w:spacing w:line="240" w:lineRule="auto"/>
        <w:jc w:val="center"/>
      </w:pPr>
      <w:r>
        <w:rPr>
          <w:sz w:val="28"/>
        </w:rPr>
        <w:t>Bilješka 71.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DB0D56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DB0855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7F918D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A3A40E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7D8A71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D903BD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1553A78" w14:textId="77777777" w:rsidR="002660AA" w:rsidRDefault="009B260F">
            <w:pPr>
              <w:keepNext/>
              <w:keepLines/>
              <w:spacing w:after="0" w:line="240" w:lineRule="auto"/>
              <w:jc w:val="center"/>
            </w:pPr>
            <w:r>
              <w:rPr>
                <w:b/>
                <w:sz w:val="18"/>
              </w:rPr>
              <w:t>Indeks (%)</w:t>
            </w:r>
          </w:p>
        </w:tc>
      </w:tr>
      <w:tr w:rsidR="002660AA" w14:paraId="659CA00B" w14:textId="77777777">
        <w:tblPrEx>
          <w:tblCellMar>
            <w:top w:w="0" w:type="dxa"/>
            <w:bottom w:w="0" w:type="dxa"/>
          </w:tblCellMar>
        </w:tblPrEx>
        <w:trPr>
          <w:cantSplit/>
          <w:trHeight w:val="560"/>
        </w:trPr>
        <w:tc>
          <w:tcPr>
            <w:tcW w:w="700" w:type="dxa"/>
            <w:tcMar>
              <w:top w:w="0" w:type="dxa"/>
              <w:bottom w:w="0" w:type="dxa"/>
            </w:tcMar>
            <w:vAlign w:val="center"/>
          </w:tcPr>
          <w:p w14:paraId="53F69E2A" w14:textId="77777777" w:rsidR="002660AA" w:rsidRDefault="009B260F">
            <w:pPr>
              <w:keepNext/>
              <w:keepLines/>
              <w:spacing w:after="0" w:line="240" w:lineRule="auto"/>
            </w:pPr>
            <w:r>
              <w:rPr>
                <w:sz w:val="18"/>
              </w:rPr>
              <w:t>7</w:t>
            </w:r>
          </w:p>
        </w:tc>
        <w:tc>
          <w:tcPr>
            <w:tcW w:w="3180" w:type="dxa"/>
            <w:tcMar>
              <w:top w:w="0" w:type="dxa"/>
              <w:bottom w:w="0" w:type="dxa"/>
            </w:tcMar>
            <w:vAlign w:val="center"/>
          </w:tcPr>
          <w:p w14:paraId="371E8661" w14:textId="77777777" w:rsidR="002660AA" w:rsidRDefault="009B260F">
            <w:pPr>
              <w:keepNext/>
              <w:keepLines/>
              <w:spacing w:after="0" w:line="240" w:lineRule="auto"/>
            </w:pPr>
            <w:r>
              <w:rPr>
                <w:sz w:val="18"/>
              </w:rPr>
              <w:t>Prihodi od prodaje nefinancijske imovine (šifre 71+72+73+74)</w:t>
            </w:r>
          </w:p>
        </w:tc>
        <w:tc>
          <w:tcPr>
            <w:tcW w:w="700" w:type="dxa"/>
            <w:tcMar>
              <w:top w:w="0" w:type="dxa"/>
              <w:bottom w:w="0" w:type="dxa"/>
            </w:tcMar>
            <w:vAlign w:val="center"/>
          </w:tcPr>
          <w:p w14:paraId="2915F7E7" w14:textId="77777777" w:rsidR="002660AA" w:rsidRDefault="009B260F">
            <w:pPr>
              <w:keepNext/>
              <w:keepLines/>
              <w:spacing w:after="0" w:line="240" w:lineRule="auto"/>
            </w:pPr>
            <w:r>
              <w:rPr>
                <w:sz w:val="18"/>
              </w:rPr>
              <w:t>7</w:t>
            </w:r>
          </w:p>
        </w:tc>
        <w:tc>
          <w:tcPr>
            <w:tcW w:w="1860" w:type="dxa"/>
            <w:tcMar>
              <w:top w:w="0" w:type="dxa"/>
              <w:bottom w:w="0" w:type="dxa"/>
            </w:tcMar>
            <w:vAlign w:val="center"/>
          </w:tcPr>
          <w:p w14:paraId="4AD42964" w14:textId="77777777" w:rsidR="002660AA" w:rsidRDefault="009B260F">
            <w:pPr>
              <w:keepNext/>
              <w:keepLines/>
              <w:spacing w:after="0" w:line="240" w:lineRule="auto"/>
              <w:jc w:val="right"/>
            </w:pPr>
            <w:r>
              <w:rPr>
                <w:sz w:val="18"/>
              </w:rPr>
              <w:t>837.971,45</w:t>
            </w:r>
          </w:p>
        </w:tc>
        <w:tc>
          <w:tcPr>
            <w:tcW w:w="1860" w:type="dxa"/>
            <w:tcMar>
              <w:top w:w="0" w:type="dxa"/>
              <w:bottom w:w="0" w:type="dxa"/>
            </w:tcMar>
            <w:vAlign w:val="center"/>
          </w:tcPr>
          <w:p w14:paraId="4844BE50" w14:textId="77777777" w:rsidR="002660AA" w:rsidRDefault="009B260F">
            <w:pPr>
              <w:keepNext/>
              <w:keepLines/>
              <w:spacing w:after="0" w:line="240" w:lineRule="auto"/>
              <w:jc w:val="right"/>
            </w:pPr>
            <w:r>
              <w:rPr>
                <w:sz w:val="18"/>
              </w:rPr>
              <w:t>3.110.301,89</w:t>
            </w:r>
          </w:p>
        </w:tc>
        <w:tc>
          <w:tcPr>
            <w:tcW w:w="700" w:type="dxa"/>
            <w:tcMar>
              <w:top w:w="0" w:type="dxa"/>
              <w:bottom w:w="0" w:type="dxa"/>
            </w:tcMar>
            <w:vAlign w:val="center"/>
          </w:tcPr>
          <w:p w14:paraId="1045ECDD" w14:textId="77777777" w:rsidR="002660AA" w:rsidRDefault="009B260F">
            <w:pPr>
              <w:keepNext/>
              <w:keepLines/>
              <w:spacing w:after="0" w:line="240" w:lineRule="auto"/>
              <w:jc w:val="right"/>
            </w:pPr>
            <w:r>
              <w:rPr>
                <w:sz w:val="18"/>
              </w:rPr>
              <w:t>371,2</w:t>
            </w:r>
          </w:p>
        </w:tc>
      </w:tr>
    </w:tbl>
    <w:p w14:paraId="44B4A3F5" w14:textId="77777777" w:rsidR="002660AA" w:rsidRDefault="002660AA">
      <w:pPr>
        <w:spacing w:after="0"/>
      </w:pPr>
    </w:p>
    <w:p w14:paraId="6102BF4D" w14:textId="77777777" w:rsidR="002660AA" w:rsidRDefault="009B260F">
      <w:r>
        <w:t>PRIHODI OD PRODAJE NEFINANCIJSKE IMOVINE (razred 7) realizirani su u iznosu od 3.110.301,89 EUR što je za 271,2  posto više  u odnosu na 2024. godinu kada su prihodi te vrste realizirani u iznosu od 837.971,45 EUR. </w:t>
      </w:r>
    </w:p>
    <w:p w14:paraId="4171C9E2" w14:textId="77777777" w:rsidR="002660AA" w:rsidRDefault="002660AA"/>
    <w:p w14:paraId="455AC5EF" w14:textId="77777777" w:rsidR="002660AA" w:rsidRDefault="009B260F">
      <w:pPr>
        <w:keepNext/>
        <w:spacing w:line="240" w:lineRule="auto"/>
        <w:jc w:val="center"/>
      </w:pPr>
      <w:r>
        <w:rPr>
          <w:sz w:val="28"/>
        </w:rPr>
        <w:t>Bilješka 72.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B891AF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6682BB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56175F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6F7CCA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B727AB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1DB38E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2225E52" w14:textId="77777777" w:rsidR="002660AA" w:rsidRDefault="009B260F">
            <w:pPr>
              <w:keepNext/>
              <w:keepLines/>
              <w:spacing w:after="0" w:line="240" w:lineRule="auto"/>
              <w:jc w:val="center"/>
            </w:pPr>
            <w:r>
              <w:rPr>
                <w:b/>
                <w:sz w:val="18"/>
              </w:rPr>
              <w:t>Indeks (%)</w:t>
            </w:r>
          </w:p>
        </w:tc>
      </w:tr>
      <w:tr w:rsidR="002660AA" w14:paraId="58462A85" w14:textId="77777777">
        <w:tblPrEx>
          <w:tblCellMar>
            <w:top w:w="0" w:type="dxa"/>
            <w:bottom w:w="0" w:type="dxa"/>
          </w:tblCellMar>
        </w:tblPrEx>
        <w:trPr>
          <w:cantSplit/>
          <w:trHeight w:val="560"/>
        </w:trPr>
        <w:tc>
          <w:tcPr>
            <w:tcW w:w="700" w:type="dxa"/>
            <w:tcMar>
              <w:top w:w="0" w:type="dxa"/>
              <w:bottom w:w="0" w:type="dxa"/>
            </w:tcMar>
            <w:vAlign w:val="center"/>
          </w:tcPr>
          <w:p w14:paraId="65DBA7BA" w14:textId="77777777" w:rsidR="002660AA" w:rsidRDefault="009B260F">
            <w:pPr>
              <w:keepNext/>
              <w:keepLines/>
              <w:spacing w:after="0" w:line="240" w:lineRule="auto"/>
            </w:pPr>
            <w:r>
              <w:rPr>
                <w:sz w:val="18"/>
              </w:rPr>
              <w:t>7111</w:t>
            </w:r>
          </w:p>
        </w:tc>
        <w:tc>
          <w:tcPr>
            <w:tcW w:w="3180" w:type="dxa"/>
            <w:tcMar>
              <w:top w:w="0" w:type="dxa"/>
              <w:bottom w:w="0" w:type="dxa"/>
            </w:tcMar>
            <w:vAlign w:val="center"/>
          </w:tcPr>
          <w:p w14:paraId="36BE8767" w14:textId="77777777" w:rsidR="002660AA" w:rsidRDefault="009B260F">
            <w:pPr>
              <w:keepNext/>
              <w:keepLines/>
              <w:spacing w:after="0" w:line="240" w:lineRule="auto"/>
            </w:pPr>
            <w:r>
              <w:rPr>
                <w:sz w:val="18"/>
              </w:rPr>
              <w:t>Zemljište</w:t>
            </w:r>
          </w:p>
        </w:tc>
        <w:tc>
          <w:tcPr>
            <w:tcW w:w="700" w:type="dxa"/>
            <w:tcMar>
              <w:top w:w="0" w:type="dxa"/>
              <w:bottom w:w="0" w:type="dxa"/>
            </w:tcMar>
            <w:vAlign w:val="center"/>
          </w:tcPr>
          <w:p w14:paraId="465D456C" w14:textId="77777777" w:rsidR="002660AA" w:rsidRDefault="009B260F">
            <w:pPr>
              <w:keepNext/>
              <w:keepLines/>
              <w:spacing w:after="0" w:line="240" w:lineRule="auto"/>
            </w:pPr>
            <w:r>
              <w:rPr>
                <w:sz w:val="18"/>
              </w:rPr>
              <w:t>7111</w:t>
            </w:r>
          </w:p>
        </w:tc>
        <w:tc>
          <w:tcPr>
            <w:tcW w:w="1860" w:type="dxa"/>
            <w:tcMar>
              <w:top w:w="0" w:type="dxa"/>
              <w:bottom w:w="0" w:type="dxa"/>
            </w:tcMar>
            <w:vAlign w:val="center"/>
          </w:tcPr>
          <w:p w14:paraId="033D1342" w14:textId="77777777" w:rsidR="002660AA" w:rsidRDefault="009B260F">
            <w:pPr>
              <w:keepNext/>
              <w:keepLines/>
              <w:spacing w:after="0" w:line="240" w:lineRule="auto"/>
              <w:jc w:val="right"/>
            </w:pPr>
            <w:r>
              <w:rPr>
                <w:sz w:val="18"/>
              </w:rPr>
              <w:t>783.077,60</w:t>
            </w:r>
          </w:p>
        </w:tc>
        <w:tc>
          <w:tcPr>
            <w:tcW w:w="1860" w:type="dxa"/>
            <w:tcMar>
              <w:top w:w="0" w:type="dxa"/>
              <w:bottom w:w="0" w:type="dxa"/>
            </w:tcMar>
            <w:vAlign w:val="center"/>
          </w:tcPr>
          <w:p w14:paraId="59188857" w14:textId="77777777" w:rsidR="002660AA" w:rsidRDefault="009B260F">
            <w:pPr>
              <w:keepNext/>
              <w:keepLines/>
              <w:spacing w:after="0" w:line="240" w:lineRule="auto"/>
              <w:jc w:val="right"/>
            </w:pPr>
            <w:r>
              <w:rPr>
                <w:sz w:val="18"/>
              </w:rPr>
              <w:t>3.086.835,49</w:t>
            </w:r>
          </w:p>
        </w:tc>
        <w:tc>
          <w:tcPr>
            <w:tcW w:w="700" w:type="dxa"/>
            <w:tcMar>
              <w:top w:w="0" w:type="dxa"/>
              <w:bottom w:w="0" w:type="dxa"/>
            </w:tcMar>
            <w:vAlign w:val="center"/>
          </w:tcPr>
          <w:p w14:paraId="1D3368BF" w14:textId="77777777" w:rsidR="002660AA" w:rsidRDefault="009B260F">
            <w:pPr>
              <w:keepNext/>
              <w:keepLines/>
              <w:spacing w:after="0" w:line="240" w:lineRule="auto"/>
              <w:jc w:val="right"/>
            </w:pPr>
            <w:r>
              <w:rPr>
                <w:sz w:val="18"/>
              </w:rPr>
              <w:t>394,2</w:t>
            </w:r>
          </w:p>
        </w:tc>
      </w:tr>
    </w:tbl>
    <w:p w14:paraId="16DA26EE" w14:textId="77777777" w:rsidR="002660AA" w:rsidRDefault="002660AA">
      <w:pPr>
        <w:spacing w:after="0"/>
      </w:pPr>
    </w:p>
    <w:p w14:paraId="4A14408B" w14:textId="77777777" w:rsidR="002660AA" w:rsidRDefault="009B260F">
      <w:r>
        <w:t>Prodaja građevinskog odnosno poljoprivrednog zemljišta bilježi značajni rast. Prodana su zemljišta društvima PEVEX d.o.o. i BMD STIL d.o.o.</w:t>
      </w:r>
    </w:p>
    <w:p w14:paraId="05FCE44C" w14:textId="77777777" w:rsidR="002660AA" w:rsidRDefault="009B260F">
      <w:r>
        <w:t> </w:t>
      </w:r>
    </w:p>
    <w:p w14:paraId="51CEFC3E" w14:textId="77777777" w:rsidR="002660AA" w:rsidRDefault="002660AA"/>
    <w:p w14:paraId="0CAFBF0D" w14:textId="77777777" w:rsidR="002660AA" w:rsidRDefault="009B260F">
      <w:pPr>
        <w:keepNext/>
        <w:spacing w:line="240" w:lineRule="auto"/>
        <w:jc w:val="center"/>
      </w:pPr>
      <w:r>
        <w:rPr>
          <w:sz w:val="28"/>
        </w:rPr>
        <w:t>Bilješka 73.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746BCF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D41181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546C17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678BD2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FD99F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C07C0C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07AEF9A" w14:textId="77777777" w:rsidR="002660AA" w:rsidRDefault="009B260F">
            <w:pPr>
              <w:keepNext/>
              <w:keepLines/>
              <w:spacing w:after="0" w:line="240" w:lineRule="auto"/>
              <w:jc w:val="center"/>
            </w:pPr>
            <w:r>
              <w:rPr>
                <w:b/>
                <w:sz w:val="18"/>
              </w:rPr>
              <w:t>Indeks (%)</w:t>
            </w:r>
          </w:p>
        </w:tc>
      </w:tr>
      <w:tr w:rsidR="002660AA" w14:paraId="099C91D2" w14:textId="77777777">
        <w:tblPrEx>
          <w:tblCellMar>
            <w:top w:w="0" w:type="dxa"/>
            <w:bottom w:w="0" w:type="dxa"/>
          </w:tblCellMar>
        </w:tblPrEx>
        <w:trPr>
          <w:cantSplit/>
          <w:trHeight w:val="560"/>
        </w:trPr>
        <w:tc>
          <w:tcPr>
            <w:tcW w:w="700" w:type="dxa"/>
            <w:tcMar>
              <w:top w:w="0" w:type="dxa"/>
              <w:bottom w:w="0" w:type="dxa"/>
            </w:tcMar>
            <w:vAlign w:val="center"/>
          </w:tcPr>
          <w:p w14:paraId="5FCC1749" w14:textId="77777777" w:rsidR="002660AA" w:rsidRDefault="009B260F">
            <w:pPr>
              <w:keepNext/>
              <w:keepLines/>
              <w:spacing w:after="0" w:line="240" w:lineRule="auto"/>
            </w:pPr>
            <w:r>
              <w:rPr>
                <w:sz w:val="18"/>
              </w:rPr>
              <w:t>7124</w:t>
            </w:r>
          </w:p>
        </w:tc>
        <w:tc>
          <w:tcPr>
            <w:tcW w:w="3180" w:type="dxa"/>
            <w:tcMar>
              <w:top w:w="0" w:type="dxa"/>
              <w:bottom w:w="0" w:type="dxa"/>
            </w:tcMar>
            <w:vAlign w:val="center"/>
          </w:tcPr>
          <w:p w14:paraId="33A63744" w14:textId="77777777" w:rsidR="002660AA" w:rsidRDefault="009B260F">
            <w:pPr>
              <w:keepNext/>
              <w:keepLines/>
              <w:spacing w:after="0" w:line="240" w:lineRule="auto"/>
            </w:pPr>
            <w:r>
              <w:rPr>
                <w:sz w:val="18"/>
              </w:rPr>
              <w:t>Ostala prava</w:t>
            </w:r>
          </w:p>
        </w:tc>
        <w:tc>
          <w:tcPr>
            <w:tcW w:w="700" w:type="dxa"/>
            <w:tcMar>
              <w:top w:w="0" w:type="dxa"/>
              <w:bottom w:w="0" w:type="dxa"/>
            </w:tcMar>
            <w:vAlign w:val="center"/>
          </w:tcPr>
          <w:p w14:paraId="0AA30D30" w14:textId="77777777" w:rsidR="002660AA" w:rsidRDefault="009B260F">
            <w:pPr>
              <w:keepNext/>
              <w:keepLines/>
              <w:spacing w:after="0" w:line="240" w:lineRule="auto"/>
            </w:pPr>
            <w:r>
              <w:rPr>
                <w:sz w:val="18"/>
              </w:rPr>
              <w:t>7124</w:t>
            </w:r>
          </w:p>
        </w:tc>
        <w:tc>
          <w:tcPr>
            <w:tcW w:w="1860" w:type="dxa"/>
            <w:tcMar>
              <w:top w:w="0" w:type="dxa"/>
              <w:bottom w:w="0" w:type="dxa"/>
            </w:tcMar>
            <w:vAlign w:val="center"/>
          </w:tcPr>
          <w:p w14:paraId="2C3DA9FA"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54AEB6DB" w14:textId="77777777" w:rsidR="002660AA" w:rsidRDefault="009B260F">
            <w:pPr>
              <w:keepNext/>
              <w:keepLines/>
              <w:spacing w:after="0" w:line="240" w:lineRule="auto"/>
              <w:jc w:val="right"/>
            </w:pPr>
            <w:r>
              <w:rPr>
                <w:sz w:val="18"/>
              </w:rPr>
              <w:t>15.927,73</w:t>
            </w:r>
          </w:p>
        </w:tc>
        <w:tc>
          <w:tcPr>
            <w:tcW w:w="700" w:type="dxa"/>
            <w:tcMar>
              <w:top w:w="0" w:type="dxa"/>
              <w:bottom w:w="0" w:type="dxa"/>
            </w:tcMar>
            <w:vAlign w:val="center"/>
          </w:tcPr>
          <w:p w14:paraId="4DA9E3FF" w14:textId="77777777" w:rsidR="002660AA" w:rsidRDefault="009B260F">
            <w:pPr>
              <w:keepNext/>
              <w:keepLines/>
              <w:spacing w:after="0" w:line="240" w:lineRule="auto"/>
              <w:jc w:val="right"/>
            </w:pPr>
            <w:r>
              <w:rPr>
                <w:sz w:val="18"/>
              </w:rPr>
              <w:t>-</w:t>
            </w:r>
          </w:p>
        </w:tc>
      </w:tr>
    </w:tbl>
    <w:p w14:paraId="5692D325" w14:textId="77777777" w:rsidR="002660AA" w:rsidRDefault="002660AA">
      <w:pPr>
        <w:spacing w:after="0"/>
      </w:pPr>
    </w:p>
    <w:p w14:paraId="59BB1293" w14:textId="77777777" w:rsidR="002660AA" w:rsidRDefault="009B260F">
      <w:r>
        <w:t>Prihod ove vrste ne bilježi realizaciju tijekom 2024. godine dok se ista tijekom 2025. godine bilježi u iznosu od  15.927,73 EUR. Riječ je o naknadi za parkirališna mjesta uplaćenoj od KCKŽ županije.</w:t>
      </w:r>
    </w:p>
    <w:p w14:paraId="78C46CF6" w14:textId="77777777" w:rsidR="002660AA" w:rsidRDefault="002660AA"/>
    <w:p w14:paraId="22951839" w14:textId="77777777" w:rsidR="002660AA" w:rsidRDefault="009B260F">
      <w:pPr>
        <w:keepNext/>
        <w:spacing w:line="240" w:lineRule="auto"/>
        <w:jc w:val="center"/>
      </w:pPr>
      <w:r>
        <w:rPr>
          <w:sz w:val="28"/>
        </w:rPr>
        <w:t>Bilješka 74.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209EBE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CCF0A1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DC3D85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D4F91B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095187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2D7FC3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2F3E7A0" w14:textId="77777777" w:rsidR="002660AA" w:rsidRDefault="009B260F">
            <w:pPr>
              <w:keepNext/>
              <w:keepLines/>
              <w:spacing w:after="0" w:line="240" w:lineRule="auto"/>
              <w:jc w:val="center"/>
            </w:pPr>
            <w:r>
              <w:rPr>
                <w:b/>
                <w:sz w:val="18"/>
              </w:rPr>
              <w:t>Indeks (%)</w:t>
            </w:r>
          </w:p>
        </w:tc>
      </w:tr>
      <w:tr w:rsidR="002660AA" w14:paraId="3A8FD4C7" w14:textId="77777777">
        <w:tblPrEx>
          <w:tblCellMar>
            <w:top w:w="0" w:type="dxa"/>
            <w:bottom w:w="0" w:type="dxa"/>
          </w:tblCellMar>
        </w:tblPrEx>
        <w:trPr>
          <w:cantSplit/>
          <w:trHeight w:val="560"/>
        </w:trPr>
        <w:tc>
          <w:tcPr>
            <w:tcW w:w="700" w:type="dxa"/>
            <w:tcMar>
              <w:top w:w="0" w:type="dxa"/>
              <w:bottom w:w="0" w:type="dxa"/>
            </w:tcMar>
            <w:vAlign w:val="center"/>
          </w:tcPr>
          <w:p w14:paraId="21AC8DE2" w14:textId="77777777" w:rsidR="002660AA" w:rsidRDefault="009B260F">
            <w:pPr>
              <w:keepNext/>
              <w:keepLines/>
              <w:spacing w:after="0" w:line="240" w:lineRule="auto"/>
            </w:pPr>
            <w:r>
              <w:rPr>
                <w:sz w:val="18"/>
              </w:rPr>
              <w:t>7211</w:t>
            </w:r>
          </w:p>
        </w:tc>
        <w:tc>
          <w:tcPr>
            <w:tcW w:w="3180" w:type="dxa"/>
            <w:tcMar>
              <w:top w:w="0" w:type="dxa"/>
              <w:bottom w:w="0" w:type="dxa"/>
            </w:tcMar>
            <w:vAlign w:val="center"/>
          </w:tcPr>
          <w:p w14:paraId="73CBE613" w14:textId="77777777" w:rsidR="002660AA" w:rsidRDefault="009B260F">
            <w:pPr>
              <w:keepNext/>
              <w:keepLines/>
              <w:spacing w:after="0" w:line="240" w:lineRule="auto"/>
            </w:pPr>
            <w:r>
              <w:rPr>
                <w:sz w:val="18"/>
              </w:rPr>
              <w:t>Stambeni objekti</w:t>
            </w:r>
          </w:p>
        </w:tc>
        <w:tc>
          <w:tcPr>
            <w:tcW w:w="700" w:type="dxa"/>
            <w:tcMar>
              <w:top w:w="0" w:type="dxa"/>
              <w:bottom w:w="0" w:type="dxa"/>
            </w:tcMar>
            <w:vAlign w:val="center"/>
          </w:tcPr>
          <w:p w14:paraId="704651F9" w14:textId="77777777" w:rsidR="002660AA" w:rsidRDefault="009B260F">
            <w:pPr>
              <w:keepNext/>
              <w:keepLines/>
              <w:spacing w:after="0" w:line="240" w:lineRule="auto"/>
            </w:pPr>
            <w:r>
              <w:rPr>
                <w:sz w:val="18"/>
              </w:rPr>
              <w:t>7211</w:t>
            </w:r>
          </w:p>
        </w:tc>
        <w:tc>
          <w:tcPr>
            <w:tcW w:w="1860" w:type="dxa"/>
            <w:tcMar>
              <w:top w:w="0" w:type="dxa"/>
              <w:bottom w:w="0" w:type="dxa"/>
            </w:tcMar>
            <w:vAlign w:val="center"/>
          </w:tcPr>
          <w:p w14:paraId="54C3AD06" w14:textId="77777777" w:rsidR="002660AA" w:rsidRDefault="009B260F">
            <w:pPr>
              <w:keepNext/>
              <w:keepLines/>
              <w:spacing w:after="0" w:line="240" w:lineRule="auto"/>
              <w:jc w:val="right"/>
            </w:pPr>
            <w:r>
              <w:rPr>
                <w:sz w:val="18"/>
              </w:rPr>
              <w:t>54.603,85</w:t>
            </w:r>
          </w:p>
        </w:tc>
        <w:tc>
          <w:tcPr>
            <w:tcW w:w="1860" w:type="dxa"/>
            <w:tcMar>
              <w:top w:w="0" w:type="dxa"/>
              <w:bottom w:w="0" w:type="dxa"/>
            </w:tcMar>
            <w:vAlign w:val="center"/>
          </w:tcPr>
          <w:p w14:paraId="71D1AAD9" w14:textId="77777777" w:rsidR="002660AA" w:rsidRDefault="009B260F">
            <w:pPr>
              <w:keepNext/>
              <w:keepLines/>
              <w:spacing w:after="0" w:line="240" w:lineRule="auto"/>
              <w:jc w:val="right"/>
            </w:pPr>
            <w:r>
              <w:rPr>
                <w:sz w:val="18"/>
              </w:rPr>
              <w:t>7.489,27</w:t>
            </w:r>
          </w:p>
        </w:tc>
        <w:tc>
          <w:tcPr>
            <w:tcW w:w="700" w:type="dxa"/>
            <w:tcMar>
              <w:top w:w="0" w:type="dxa"/>
              <w:bottom w:w="0" w:type="dxa"/>
            </w:tcMar>
            <w:vAlign w:val="center"/>
          </w:tcPr>
          <w:p w14:paraId="139447B6" w14:textId="77777777" w:rsidR="002660AA" w:rsidRDefault="009B260F">
            <w:pPr>
              <w:keepNext/>
              <w:keepLines/>
              <w:spacing w:after="0" w:line="240" w:lineRule="auto"/>
              <w:jc w:val="right"/>
            </w:pPr>
            <w:r>
              <w:rPr>
                <w:sz w:val="18"/>
              </w:rPr>
              <w:t>13,7</w:t>
            </w:r>
          </w:p>
        </w:tc>
      </w:tr>
    </w:tbl>
    <w:p w14:paraId="3AE2B0F5" w14:textId="77777777" w:rsidR="002660AA" w:rsidRDefault="002660AA">
      <w:pPr>
        <w:spacing w:after="0"/>
      </w:pPr>
    </w:p>
    <w:p w14:paraId="25AB789A" w14:textId="77777777" w:rsidR="002660AA" w:rsidRDefault="009B260F">
      <w:r>
        <w:t>Bilježi se značajni pad je se tijekom 2024. godine realizirala prodaja ošasne imovine i dvije nekretnine dok se tijekom 2025. godine ostvario samo prihod od otplate stanova nad kojima postoji stanarsko pravo.</w:t>
      </w:r>
    </w:p>
    <w:p w14:paraId="3E3E7E5E" w14:textId="77777777" w:rsidR="002660AA" w:rsidRDefault="002660AA"/>
    <w:p w14:paraId="7E82AE7E" w14:textId="77777777" w:rsidR="002660AA" w:rsidRDefault="009B260F">
      <w:pPr>
        <w:keepNext/>
        <w:spacing w:line="240" w:lineRule="auto"/>
        <w:jc w:val="center"/>
      </w:pPr>
      <w:r>
        <w:rPr>
          <w:sz w:val="28"/>
        </w:rPr>
        <w:t>Bilješka 75.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62CD2D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66D098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012DC9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EA5DD1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C1F400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5E7240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F5E0D30" w14:textId="77777777" w:rsidR="002660AA" w:rsidRDefault="009B260F">
            <w:pPr>
              <w:keepNext/>
              <w:keepLines/>
              <w:spacing w:after="0" w:line="240" w:lineRule="auto"/>
              <w:jc w:val="center"/>
            </w:pPr>
            <w:r>
              <w:rPr>
                <w:b/>
                <w:sz w:val="18"/>
              </w:rPr>
              <w:t>Indeks (%)</w:t>
            </w:r>
          </w:p>
        </w:tc>
      </w:tr>
      <w:tr w:rsidR="002660AA" w14:paraId="63BCE676" w14:textId="77777777">
        <w:tblPrEx>
          <w:tblCellMar>
            <w:top w:w="0" w:type="dxa"/>
            <w:bottom w:w="0" w:type="dxa"/>
          </w:tblCellMar>
        </w:tblPrEx>
        <w:trPr>
          <w:cantSplit/>
          <w:trHeight w:val="560"/>
        </w:trPr>
        <w:tc>
          <w:tcPr>
            <w:tcW w:w="700" w:type="dxa"/>
            <w:tcMar>
              <w:top w:w="0" w:type="dxa"/>
              <w:bottom w:w="0" w:type="dxa"/>
            </w:tcMar>
            <w:vAlign w:val="center"/>
          </w:tcPr>
          <w:p w14:paraId="70A0505F" w14:textId="77777777" w:rsidR="002660AA" w:rsidRDefault="009B260F">
            <w:pPr>
              <w:keepNext/>
              <w:keepLines/>
              <w:spacing w:after="0" w:line="240" w:lineRule="auto"/>
            </w:pPr>
            <w:r>
              <w:rPr>
                <w:sz w:val="18"/>
              </w:rPr>
              <w:t>7221</w:t>
            </w:r>
          </w:p>
        </w:tc>
        <w:tc>
          <w:tcPr>
            <w:tcW w:w="3180" w:type="dxa"/>
            <w:tcMar>
              <w:top w:w="0" w:type="dxa"/>
              <w:bottom w:w="0" w:type="dxa"/>
            </w:tcMar>
            <w:vAlign w:val="center"/>
          </w:tcPr>
          <w:p w14:paraId="51385268" w14:textId="77777777" w:rsidR="002660AA" w:rsidRDefault="009B260F">
            <w:pPr>
              <w:keepNext/>
              <w:keepLines/>
              <w:spacing w:after="0" w:line="240" w:lineRule="auto"/>
            </w:pPr>
            <w:r>
              <w:rPr>
                <w:sz w:val="18"/>
              </w:rPr>
              <w:t>Uredska oprema i namještaj</w:t>
            </w:r>
          </w:p>
        </w:tc>
        <w:tc>
          <w:tcPr>
            <w:tcW w:w="700" w:type="dxa"/>
            <w:tcMar>
              <w:top w:w="0" w:type="dxa"/>
              <w:bottom w:w="0" w:type="dxa"/>
            </w:tcMar>
            <w:vAlign w:val="center"/>
          </w:tcPr>
          <w:p w14:paraId="78BE5065" w14:textId="77777777" w:rsidR="002660AA" w:rsidRDefault="009B260F">
            <w:pPr>
              <w:keepNext/>
              <w:keepLines/>
              <w:spacing w:after="0" w:line="240" w:lineRule="auto"/>
            </w:pPr>
            <w:r>
              <w:rPr>
                <w:sz w:val="18"/>
              </w:rPr>
              <w:t>7221</w:t>
            </w:r>
          </w:p>
        </w:tc>
        <w:tc>
          <w:tcPr>
            <w:tcW w:w="1860" w:type="dxa"/>
            <w:tcMar>
              <w:top w:w="0" w:type="dxa"/>
              <w:bottom w:w="0" w:type="dxa"/>
            </w:tcMar>
            <w:vAlign w:val="center"/>
          </w:tcPr>
          <w:p w14:paraId="381F331F" w14:textId="77777777" w:rsidR="002660AA" w:rsidRDefault="009B260F">
            <w:pPr>
              <w:keepNext/>
              <w:keepLines/>
              <w:spacing w:after="0" w:line="240" w:lineRule="auto"/>
              <w:jc w:val="right"/>
            </w:pPr>
            <w:r>
              <w:rPr>
                <w:sz w:val="18"/>
              </w:rPr>
              <w:t>290,00</w:t>
            </w:r>
          </w:p>
        </w:tc>
        <w:tc>
          <w:tcPr>
            <w:tcW w:w="1860" w:type="dxa"/>
            <w:tcMar>
              <w:top w:w="0" w:type="dxa"/>
              <w:bottom w:w="0" w:type="dxa"/>
            </w:tcMar>
            <w:vAlign w:val="center"/>
          </w:tcPr>
          <w:p w14:paraId="1FF8ECA1"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2B9A9117" w14:textId="77777777" w:rsidR="002660AA" w:rsidRDefault="009B260F">
            <w:pPr>
              <w:keepNext/>
              <w:keepLines/>
              <w:spacing w:after="0" w:line="240" w:lineRule="auto"/>
              <w:jc w:val="right"/>
            </w:pPr>
            <w:r>
              <w:rPr>
                <w:sz w:val="18"/>
              </w:rPr>
              <w:t>0</w:t>
            </w:r>
          </w:p>
        </w:tc>
      </w:tr>
    </w:tbl>
    <w:p w14:paraId="60E2252A" w14:textId="77777777" w:rsidR="002660AA" w:rsidRDefault="002660AA">
      <w:pPr>
        <w:spacing w:after="0"/>
      </w:pPr>
    </w:p>
    <w:p w14:paraId="5EB8B677" w14:textId="77777777" w:rsidR="002660AA" w:rsidRDefault="009B260F">
      <w:r>
        <w:t>Uredska oprema i namještaj tijekom 2024. godine bilježe realizaciju od 290,00 EUR dok iste tijekom 2025. godine nije bilo. Riječ je o prihodu knjiženom temeljem ugovora o darovanju 2 komada računalne opreme RK Podravka.</w:t>
      </w:r>
    </w:p>
    <w:p w14:paraId="6F3CD6E2" w14:textId="77777777" w:rsidR="002660AA" w:rsidRDefault="002660AA"/>
    <w:p w14:paraId="0C0C8C46" w14:textId="77777777" w:rsidR="002660AA" w:rsidRDefault="009B260F">
      <w:pPr>
        <w:keepNext/>
        <w:spacing w:line="240" w:lineRule="auto"/>
        <w:jc w:val="center"/>
      </w:pPr>
      <w:r>
        <w:rPr>
          <w:sz w:val="28"/>
        </w:rPr>
        <w:t>Bilješka 76.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C2F5B6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86E09C2"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079376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54E97A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31B939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3FADA9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9A14DB7" w14:textId="77777777" w:rsidR="002660AA" w:rsidRDefault="009B260F">
            <w:pPr>
              <w:keepNext/>
              <w:keepLines/>
              <w:spacing w:after="0" w:line="240" w:lineRule="auto"/>
              <w:jc w:val="center"/>
            </w:pPr>
            <w:r>
              <w:rPr>
                <w:b/>
                <w:sz w:val="18"/>
              </w:rPr>
              <w:t>Indeks (%)</w:t>
            </w:r>
          </w:p>
        </w:tc>
      </w:tr>
      <w:tr w:rsidR="002660AA" w14:paraId="7D50FB4B" w14:textId="77777777">
        <w:tblPrEx>
          <w:tblCellMar>
            <w:top w:w="0" w:type="dxa"/>
            <w:bottom w:w="0" w:type="dxa"/>
          </w:tblCellMar>
        </w:tblPrEx>
        <w:trPr>
          <w:cantSplit/>
          <w:trHeight w:val="560"/>
        </w:trPr>
        <w:tc>
          <w:tcPr>
            <w:tcW w:w="700" w:type="dxa"/>
            <w:tcMar>
              <w:top w:w="0" w:type="dxa"/>
              <w:bottom w:w="0" w:type="dxa"/>
            </w:tcMar>
            <w:vAlign w:val="center"/>
          </w:tcPr>
          <w:p w14:paraId="5FD2EDF6" w14:textId="77777777" w:rsidR="002660AA" w:rsidRDefault="009B260F">
            <w:pPr>
              <w:keepNext/>
              <w:keepLines/>
              <w:spacing w:after="0" w:line="240" w:lineRule="auto"/>
            </w:pPr>
            <w:r>
              <w:rPr>
                <w:sz w:val="18"/>
              </w:rPr>
              <w:t>7231</w:t>
            </w:r>
          </w:p>
        </w:tc>
        <w:tc>
          <w:tcPr>
            <w:tcW w:w="3180" w:type="dxa"/>
            <w:tcMar>
              <w:top w:w="0" w:type="dxa"/>
              <w:bottom w:w="0" w:type="dxa"/>
            </w:tcMar>
            <w:vAlign w:val="center"/>
          </w:tcPr>
          <w:p w14:paraId="39FFEB42" w14:textId="77777777" w:rsidR="002660AA" w:rsidRDefault="009B260F">
            <w:pPr>
              <w:keepNext/>
              <w:keepLines/>
              <w:spacing w:after="0" w:line="240" w:lineRule="auto"/>
            </w:pPr>
            <w:r>
              <w:rPr>
                <w:sz w:val="18"/>
              </w:rPr>
              <w:t>Prijevozna sredstva u cestovnom prometu</w:t>
            </w:r>
          </w:p>
        </w:tc>
        <w:tc>
          <w:tcPr>
            <w:tcW w:w="700" w:type="dxa"/>
            <w:tcMar>
              <w:top w:w="0" w:type="dxa"/>
              <w:bottom w:w="0" w:type="dxa"/>
            </w:tcMar>
            <w:vAlign w:val="center"/>
          </w:tcPr>
          <w:p w14:paraId="29F1043E" w14:textId="77777777" w:rsidR="002660AA" w:rsidRDefault="009B260F">
            <w:pPr>
              <w:keepNext/>
              <w:keepLines/>
              <w:spacing w:after="0" w:line="240" w:lineRule="auto"/>
            </w:pPr>
            <w:r>
              <w:rPr>
                <w:sz w:val="18"/>
              </w:rPr>
              <w:t>7231</w:t>
            </w:r>
          </w:p>
        </w:tc>
        <w:tc>
          <w:tcPr>
            <w:tcW w:w="1860" w:type="dxa"/>
            <w:tcMar>
              <w:top w:w="0" w:type="dxa"/>
              <w:bottom w:w="0" w:type="dxa"/>
            </w:tcMar>
            <w:vAlign w:val="center"/>
          </w:tcPr>
          <w:p w14:paraId="1E3C7A05"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1121CDD6" w14:textId="77777777" w:rsidR="002660AA" w:rsidRDefault="009B260F">
            <w:pPr>
              <w:keepNext/>
              <w:keepLines/>
              <w:spacing w:after="0" w:line="240" w:lineRule="auto"/>
              <w:jc w:val="right"/>
            </w:pPr>
            <w:r>
              <w:rPr>
                <w:sz w:val="18"/>
              </w:rPr>
              <w:t>49,40</w:t>
            </w:r>
          </w:p>
        </w:tc>
        <w:tc>
          <w:tcPr>
            <w:tcW w:w="700" w:type="dxa"/>
            <w:tcMar>
              <w:top w:w="0" w:type="dxa"/>
              <w:bottom w:w="0" w:type="dxa"/>
            </w:tcMar>
            <w:vAlign w:val="center"/>
          </w:tcPr>
          <w:p w14:paraId="58E2512C" w14:textId="77777777" w:rsidR="002660AA" w:rsidRDefault="009B260F">
            <w:pPr>
              <w:keepNext/>
              <w:keepLines/>
              <w:spacing w:after="0" w:line="240" w:lineRule="auto"/>
              <w:jc w:val="right"/>
            </w:pPr>
            <w:r>
              <w:rPr>
                <w:sz w:val="18"/>
              </w:rPr>
              <w:t>-</w:t>
            </w:r>
          </w:p>
        </w:tc>
      </w:tr>
    </w:tbl>
    <w:p w14:paraId="26C5652F" w14:textId="77777777" w:rsidR="002660AA" w:rsidRDefault="002660AA">
      <w:pPr>
        <w:spacing w:after="0"/>
      </w:pPr>
    </w:p>
    <w:p w14:paraId="7DC77624" w14:textId="77777777" w:rsidR="002660AA" w:rsidRDefault="009B260F">
      <w:r>
        <w:t>Prijevozna sredstva u cestovnom prometu tijekom 2024. godine nisu zabilježila realizaciju dok je ista u 2025. godini iznosila 49,40 EUR i to od CE-ZA-R d.o.o. </w:t>
      </w:r>
    </w:p>
    <w:p w14:paraId="680C3A83" w14:textId="77777777" w:rsidR="002660AA" w:rsidRDefault="002660AA"/>
    <w:p w14:paraId="382DA21C" w14:textId="77777777" w:rsidR="002660AA" w:rsidRDefault="009B260F">
      <w:pPr>
        <w:keepNext/>
        <w:spacing w:line="240" w:lineRule="auto"/>
        <w:jc w:val="center"/>
      </w:pPr>
      <w:r>
        <w:rPr>
          <w:sz w:val="28"/>
        </w:rPr>
        <w:t>Bilješka 77.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638284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9B0E2F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1FEF81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D7F66B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B943959"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068CE0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FB4629D" w14:textId="77777777" w:rsidR="002660AA" w:rsidRDefault="009B260F">
            <w:pPr>
              <w:keepNext/>
              <w:keepLines/>
              <w:spacing w:after="0" w:line="240" w:lineRule="auto"/>
              <w:jc w:val="center"/>
            </w:pPr>
            <w:r>
              <w:rPr>
                <w:b/>
                <w:sz w:val="18"/>
              </w:rPr>
              <w:t>Indeks (%)</w:t>
            </w:r>
          </w:p>
        </w:tc>
      </w:tr>
      <w:tr w:rsidR="002660AA" w14:paraId="39B2ACFD" w14:textId="77777777">
        <w:tblPrEx>
          <w:tblCellMar>
            <w:top w:w="0" w:type="dxa"/>
            <w:bottom w:w="0" w:type="dxa"/>
          </w:tblCellMar>
        </w:tblPrEx>
        <w:trPr>
          <w:cantSplit/>
          <w:trHeight w:val="560"/>
        </w:trPr>
        <w:tc>
          <w:tcPr>
            <w:tcW w:w="700" w:type="dxa"/>
            <w:tcMar>
              <w:top w:w="0" w:type="dxa"/>
              <w:bottom w:w="0" w:type="dxa"/>
            </w:tcMar>
            <w:vAlign w:val="center"/>
          </w:tcPr>
          <w:p w14:paraId="736E26BF" w14:textId="77777777" w:rsidR="002660AA" w:rsidRDefault="009B260F">
            <w:pPr>
              <w:keepNext/>
              <w:keepLines/>
              <w:spacing w:after="0" w:line="240" w:lineRule="auto"/>
            </w:pPr>
            <w:r>
              <w:rPr>
                <w:sz w:val="18"/>
              </w:rPr>
              <w:t>4</w:t>
            </w:r>
          </w:p>
        </w:tc>
        <w:tc>
          <w:tcPr>
            <w:tcW w:w="3180" w:type="dxa"/>
            <w:tcMar>
              <w:top w:w="0" w:type="dxa"/>
              <w:bottom w:w="0" w:type="dxa"/>
            </w:tcMar>
            <w:vAlign w:val="center"/>
          </w:tcPr>
          <w:p w14:paraId="63D1705C" w14:textId="77777777" w:rsidR="002660AA" w:rsidRDefault="009B260F">
            <w:pPr>
              <w:keepNext/>
              <w:keepLines/>
              <w:spacing w:after="0" w:line="240" w:lineRule="auto"/>
            </w:pPr>
            <w:r>
              <w:rPr>
                <w:sz w:val="18"/>
              </w:rPr>
              <w:t>Rashodi za nabavu nefinancijske imovine (šifre 41+42+43+44+45)</w:t>
            </w:r>
          </w:p>
        </w:tc>
        <w:tc>
          <w:tcPr>
            <w:tcW w:w="700" w:type="dxa"/>
            <w:tcMar>
              <w:top w:w="0" w:type="dxa"/>
              <w:bottom w:w="0" w:type="dxa"/>
            </w:tcMar>
            <w:vAlign w:val="center"/>
          </w:tcPr>
          <w:p w14:paraId="74D066BD" w14:textId="77777777" w:rsidR="002660AA" w:rsidRDefault="009B260F">
            <w:pPr>
              <w:keepNext/>
              <w:keepLines/>
              <w:spacing w:after="0" w:line="240" w:lineRule="auto"/>
            </w:pPr>
            <w:r>
              <w:rPr>
                <w:sz w:val="18"/>
              </w:rPr>
              <w:t>4</w:t>
            </w:r>
          </w:p>
        </w:tc>
        <w:tc>
          <w:tcPr>
            <w:tcW w:w="1860" w:type="dxa"/>
            <w:tcMar>
              <w:top w:w="0" w:type="dxa"/>
              <w:bottom w:w="0" w:type="dxa"/>
            </w:tcMar>
            <w:vAlign w:val="center"/>
          </w:tcPr>
          <w:p w14:paraId="7A026162" w14:textId="77777777" w:rsidR="002660AA" w:rsidRDefault="009B260F">
            <w:pPr>
              <w:keepNext/>
              <w:keepLines/>
              <w:spacing w:after="0" w:line="240" w:lineRule="auto"/>
              <w:jc w:val="right"/>
            </w:pPr>
            <w:r>
              <w:rPr>
                <w:sz w:val="18"/>
              </w:rPr>
              <w:t>8.289.299,85</w:t>
            </w:r>
          </w:p>
        </w:tc>
        <w:tc>
          <w:tcPr>
            <w:tcW w:w="1860" w:type="dxa"/>
            <w:tcMar>
              <w:top w:w="0" w:type="dxa"/>
              <w:bottom w:w="0" w:type="dxa"/>
            </w:tcMar>
            <w:vAlign w:val="center"/>
          </w:tcPr>
          <w:p w14:paraId="485EEF34" w14:textId="77777777" w:rsidR="002660AA" w:rsidRDefault="009B260F">
            <w:pPr>
              <w:keepNext/>
              <w:keepLines/>
              <w:spacing w:after="0" w:line="240" w:lineRule="auto"/>
              <w:jc w:val="right"/>
            </w:pPr>
            <w:r>
              <w:rPr>
                <w:sz w:val="18"/>
              </w:rPr>
              <w:t>23.704.416,50</w:t>
            </w:r>
          </w:p>
        </w:tc>
        <w:tc>
          <w:tcPr>
            <w:tcW w:w="700" w:type="dxa"/>
            <w:tcMar>
              <w:top w:w="0" w:type="dxa"/>
              <w:bottom w:w="0" w:type="dxa"/>
            </w:tcMar>
            <w:vAlign w:val="center"/>
          </w:tcPr>
          <w:p w14:paraId="7D0B6871" w14:textId="77777777" w:rsidR="002660AA" w:rsidRDefault="009B260F">
            <w:pPr>
              <w:keepNext/>
              <w:keepLines/>
              <w:spacing w:after="0" w:line="240" w:lineRule="auto"/>
              <w:jc w:val="right"/>
            </w:pPr>
            <w:r>
              <w:rPr>
                <w:sz w:val="18"/>
              </w:rPr>
              <w:t>286,0</w:t>
            </w:r>
          </w:p>
        </w:tc>
      </w:tr>
    </w:tbl>
    <w:p w14:paraId="16A33C28" w14:textId="77777777" w:rsidR="002660AA" w:rsidRDefault="002660AA">
      <w:pPr>
        <w:spacing w:after="0"/>
      </w:pPr>
    </w:p>
    <w:p w14:paraId="0F4780A2" w14:textId="77777777" w:rsidR="002660AA" w:rsidRDefault="009B260F">
      <w:r>
        <w:t>RASHODI ZA NABAVU NEFINANCIJSKE IMOVINE  (razred 4)  u 2025. godini ostvareni su u iznosu od 23.704.416,50 EUR što je za 186 posto više nego prethodne 2024. godine.</w:t>
      </w:r>
    </w:p>
    <w:p w14:paraId="451E7FDF" w14:textId="77777777" w:rsidR="002660AA" w:rsidRDefault="002660AA"/>
    <w:p w14:paraId="3E1C709E" w14:textId="77777777" w:rsidR="002660AA" w:rsidRDefault="009B260F">
      <w:pPr>
        <w:keepNext/>
        <w:spacing w:line="240" w:lineRule="auto"/>
        <w:jc w:val="center"/>
      </w:pPr>
      <w:r>
        <w:rPr>
          <w:sz w:val="28"/>
        </w:rPr>
        <w:t>Bilješka 78.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B7B004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41938B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6A26E3F"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06C3A9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3103BD9"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0D4C5E1"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DB81E9B" w14:textId="77777777" w:rsidR="002660AA" w:rsidRDefault="009B260F">
            <w:pPr>
              <w:keepNext/>
              <w:keepLines/>
              <w:spacing w:after="0" w:line="240" w:lineRule="auto"/>
              <w:jc w:val="center"/>
            </w:pPr>
            <w:r>
              <w:rPr>
                <w:b/>
                <w:sz w:val="18"/>
              </w:rPr>
              <w:t>Indeks (%)</w:t>
            </w:r>
          </w:p>
        </w:tc>
      </w:tr>
      <w:tr w:rsidR="002660AA" w14:paraId="023DD039" w14:textId="77777777">
        <w:tblPrEx>
          <w:tblCellMar>
            <w:top w:w="0" w:type="dxa"/>
            <w:bottom w:w="0" w:type="dxa"/>
          </w:tblCellMar>
        </w:tblPrEx>
        <w:trPr>
          <w:cantSplit/>
          <w:trHeight w:val="560"/>
        </w:trPr>
        <w:tc>
          <w:tcPr>
            <w:tcW w:w="700" w:type="dxa"/>
            <w:tcMar>
              <w:top w:w="0" w:type="dxa"/>
              <w:bottom w:w="0" w:type="dxa"/>
            </w:tcMar>
            <w:vAlign w:val="center"/>
          </w:tcPr>
          <w:p w14:paraId="18C70AE0" w14:textId="77777777" w:rsidR="002660AA" w:rsidRDefault="009B260F">
            <w:pPr>
              <w:keepNext/>
              <w:keepLines/>
              <w:spacing w:after="0" w:line="240" w:lineRule="auto"/>
            </w:pPr>
            <w:r>
              <w:rPr>
                <w:sz w:val="18"/>
              </w:rPr>
              <w:t>4111</w:t>
            </w:r>
          </w:p>
        </w:tc>
        <w:tc>
          <w:tcPr>
            <w:tcW w:w="3180" w:type="dxa"/>
            <w:tcMar>
              <w:top w:w="0" w:type="dxa"/>
              <w:bottom w:w="0" w:type="dxa"/>
            </w:tcMar>
            <w:vAlign w:val="center"/>
          </w:tcPr>
          <w:p w14:paraId="26F8EDBF" w14:textId="77777777" w:rsidR="002660AA" w:rsidRDefault="009B260F">
            <w:pPr>
              <w:keepNext/>
              <w:keepLines/>
              <w:spacing w:after="0" w:line="240" w:lineRule="auto"/>
            </w:pPr>
            <w:r>
              <w:rPr>
                <w:sz w:val="18"/>
              </w:rPr>
              <w:t>Zemljište</w:t>
            </w:r>
          </w:p>
        </w:tc>
        <w:tc>
          <w:tcPr>
            <w:tcW w:w="700" w:type="dxa"/>
            <w:tcMar>
              <w:top w:w="0" w:type="dxa"/>
              <w:bottom w:w="0" w:type="dxa"/>
            </w:tcMar>
            <w:vAlign w:val="center"/>
          </w:tcPr>
          <w:p w14:paraId="36C57EF8" w14:textId="77777777" w:rsidR="002660AA" w:rsidRDefault="009B260F">
            <w:pPr>
              <w:keepNext/>
              <w:keepLines/>
              <w:spacing w:after="0" w:line="240" w:lineRule="auto"/>
            </w:pPr>
            <w:r>
              <w:rPr>
                <w:sz w:val="18"/>
              </w:rPr>
              <w:t>4111</w:t>
            </w:r>
          </w:p>
        </w:tc>
        <w:tc>
          <w:tcPr>
            <w:tcW w:w="1860" w:type="dxa"/>
            <w:tcMar>
              <w:top w:w="0" w:type="dxa"/>
              <w:bottom w:w="0" w:type="dxa"/>
            </w:tcMar>
            <w:vAlign w:val="center"/>
          </w:tcPr>
          <w:p w14:paraId="51A4CDFA" w14:textId="77777777" w:rsidR="002660AA" w:rsidRDefault="009B260F">
            <w:pPr>
              <w:keepNext/>
              <w:keepLines/>
              <w:spacing w:after="0" w:line="240" w:lineRule="auto"/>
              <w:jc w:val="right"/>
            </w:pPr>
            <w:r>
              <w:rPr>
                <w:sz w:val="18"/>
              </w:rPr>
              <w:t>347.966,24</w:t>
            </w:r>
          </w:p>
        </w:tc>
        <w:tc>
          <w:tcPr>
            <w:tcW w:w="1860" w:type="dxa"/>
            <w:tcMar>
              <w:top w:w="0" w:type="dxa"/>
              <w:bottom w:w="0" w:type="dxa"/>
            </w:tcMar>
            <w:vAlign w:val="center"/>
          </w:tcPr>
          <w:p w14:paraId="3A7EE083" w14:textId="77777777" w:rsidR="002660AA" w:rsidRDefault="009B260F">
            <w:pPr>
              <w:keepNext/>
              <w:keepLines/>
              <w:spacing w:after="0" w:line="240" w:lineRule="auto"/>
              <w:jc w:val="right"/>
            </w:pPr>
            <w:r>
              <w:rPr>
                <w:sz w:val="18"/>
              </w:rPr>
              <w:t>70.913,69</w:t>
            </w:r>
          </w:p>
        </w:tc>
        <w:tc>
          <w:tcPr>
            <w:tcW w:w="700" w:type="dxa"/>
            <w:tcMar>
              <w:top w:w="0" w:type="dxa"/>
              <w:bottom w:w="0" w:type="dxa"/>
            </w:tcMar>
            <w:vAlign w:val="center"/>
          </w:tcPr>
          <w:p w14:paraId="3077E2A0" w14:textId="77777777" w:rsidR="002660AA" w:rsidRDefault="009B260F">
            <w:pPr>
              <w:keepNext/>
              <w:keepLines/>
              <w:spacing w:after="0" w:line="240" w:lineRule="auto"/>
              <w:jc w:val="right"/>
            </w:pPr>
            <w:r>
              <w:rPr>
                <w:sz w:val="18"/>
              </w:rPr>
              <w:t>20,4</w:t>
            </w:r>
          </w:p>
        </w:tc>
      </w:tr>
    </w:tbl>
    <w:p w14:paraId="1869C1BF" w14:textId="77777777" w:rsidR="002660AA" w:rsidRDefault="002660AA">
      <w:pPr>
        <w:spacing w:after="0"/>
      </w:pPr>
    </w:p>
    <w:p w14:paraId="2C3A8838" w14:textId="77777777" w:rsidR="002660AA" w:rsidRDefault="009B260F">
      <w:r>
        <w:t>Zemljište bilježi značajni pad u odnosu na 2024. godinu kada je grad otkupljivao zemljište za potrebe izgradnje spojne ceste Peteranec – Herešin te za pristupnu prometnicu DV Herešin. </w:t>
      </w:r>
    </w:p>
    <w:p w14:paraId="5C888FED" w14:textId="77777777" w:rsidR="002660AA" w:rsidRDefault="009B260F">
      <w:r>
        <w:t> </w:t>
      </w:r>
    </w:p>
    <w:p w14:paraId="7E067127" w14:textId="77777777" w:rsidR="002660AA" w:rsidRDefault="002660AA"/>
    <w:p w14:paraId="582FE140" w14:textId="77777777" w:rsidR="002660AA" w:rsidRDefault="009B260F">
      <w:pPr>
        <w:keepNext/>
        <w:spacing w:line="240" w:lineRule="auto"/>
        <w:jc w:val="center"/>
      </w:pPr>
      <w:r>
        <w:rPr>
          <w:sz w:val="28"/>
        </w:rPr>
        <w:t>Bilješka 79.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3C8286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FE1264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B87077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636B34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B8984F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5BEB21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FC35608" w14:textId="77777777" w:rsidR="002660AA" w:rsidRDefault="009B260F">
            <w:pPr>
              <w:keepNext/>
              <w:keepLines/>
              <w:spacing w:after="0" w:line="240" w:lineRule="auto"/>
              <w:jc w:val="center"/>
            </w:pPr>
            <w:r>
              <w:rPr>
                <w:b/>
                <w:sz w:val="18"/>
              </w:rPr>
              <w:t>Indeks (%)</w:t>
            </w:r>
          </w:p>
        </w:tc>
      </w:tr>
      <w:tr w:rsidR="002660AA" w14:paraId="0354DDBB" w14:textId="77777777">
        <w:tblPrEx>
          <w:tblCellMar>
            <w:top w:w="0" w:type="dxa"/>
            <w:bottom w:w="0" w:type="dxa"/>
          </w:tblCellMar>
        </w:tblPrEx>
        <w:trPr>
          <w:cantSplit/>
          <w:trHeight w:val="560"/>
        </w:trPr>
        <w:tc>
          <w:tcPr>
            <w:tcW w:w="700" w:type="dxa"/>
            <w:tcMar>
              <w:top w:w="0" w:type="dxa"/>
              <w:bottom w:w="0" w:type="dxa"/>
            </w:tcMar>
            <w:vAlign w:val="center"/>
          </w:tcPr>
          <w:p w14:paraId="50C3CE4A" w14:textId="77777777" w:rsidR="002660AA" w:rsidRDefault="009B260F">
            <w:pPr>
              <w:keepNext/>
              <w:keepLines/>
              <w:spacing w:after="0" w:line="240" w:lineRule="auto"/>
            </w:pPr>
            <w:r>
              <w:rPr>
                <w:sz w:val="18"/>
              </w:rPr>
              <w:t>412</w:t>
            </w:r>
          </w:p>
        </w:tc>
        <w:tc>
          <w:tcPr>
            <w:tcW w:w="3180" w:type="dxa"/>
            <w:tcMar>
              <w:top w:w="0" w:type="dxa"/>
              <w:bottom w:w="0" w:type="dxa"/>
            </w:tcMar>
            <w:vAlign w:val="center"/>
          </w:tcPr>
          <w:p w14:paraId="02CDCDEB" w14:textId="77777777" w:rsidR="002660AA" w:rsidRDefault="009B260F">
            <w:pPr>
              <w:keepNext/>
              <w:keepLines/>
              <w:spacing w:after="0" w:line="240" w:lineRule="auto"/>
            </w:pPr>
            <w:r>
              <w:rPr>
                <w:sz w:val="18"/>
              </w:rPr>
              <w:t>Nematerijalna imovina (šifre 4121 do 4126)</w:t>
            </w:r>
          </w:p>
        </w:tc>
        <w:tc>
          <w:tcPr>
            <w:tcW w:w="700" w:type="dxa"/>
            <w:tcMar>
              <w:top w:w="0" w:type="dxa"/>
              <w:bottom w:w="0" w:type="dxa"/>
            </w:tcMar>
            <w:vAlign w:val="center"/>
          </w:tcPr>
          <w:p w14:paraId="2C616C77" w14:textId="77777777" w:rsidR="002660AA" w:rsidRDefault="009B260F">
            <w:pPr>
              <w:keepNext/>
              <w:keepLines/>
              <w:spacing w:after="0" w:line="240" w:lineRule="auto"/>
            </w:pPr>
            <w:r>
              <w:rPr>
                <w:sz w:val="18"/>
              </w:rPr>
              <w:t>412</w:t>
            </w:r>
          </w:p>
        </w:tc>
        <w:tc>
          <w:tcPr>
            <w:tcW w:w="1860" w:type="dxa"/>
            <w:tcMar>
              <w:top w:w="0" w:type="dxa"/>
              <w:bottom w:w="0" w:type="dxa"/>
            </w:tcMar>
            <w:vAlign w:val="center"/>
          </w:tcPr>
          <w:p w14:paraId="308ADEA3"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5A8BCFAE" w14:textId="77777777" w:rsidR="002660AA" w:rsidRDefault="009B260F">
            <w:pPr>
              <w:keepNext/>
              <w:keepLines/>
              <w:spacing w:after="0" w:line="240" w:lineRule="auto"/>
              <w:jc w:val="right"/>
            </w:pPr>
            <w:r>
              <w:rPr>
                <w:sz w:val="18"/>
              </w:rPr>
              <w:t>2.045.691,92</w:t>
            </w:r>
          </w:p>
        </w:tc>
        <w:tc>
          <w:tcPr>
            <w:tcW w:w="700" w:type="dxa"/>
            <w:tcMar>
              <w:top w:w="0" w:type="dxa"/>
              <w:bottom w:w="0" w:type="dxa"/>
            </w:tcMar>
            <w:vAlign w:val="center"/>
          </w:tcPr>
          <w:p w14:paraId="40AB3674" w14:textId="77777777" w:rsidR="002660AA" w:rsidRDefault="009B260F">
            <w:pPr>
              <w:keepNext/>
              <w:keepLines/>
              <w:spacing w:after="0" w:line="240" w:lineRule="auto"/>
              <w:jc w:val="right"/>
            </w:pPr>
            <w:r>
              <w:rPr>
                <w:sz w:val="18"/>
              </w:rPr>
              <w:t>-</w:t>
            </w:r>
          </w:p>
        </w:tc>
      </w:tr>
    </w:tbl>
    <w:p w14:paraId="69CAFD63" w14:textId="77777777" w:rsidR="002660AA" w:rsidRDefault="002660AA">
      <w:pPr>
        <w:spacing w:after="0"/>
      </w:pPr>
    </w:p>
    <w:p w14:paraId="2B67B07C" w14:textId="77777777" w:rsidR="002660AA" w:rsidRDefault="009B260F">
      <w:r>
        <w:t>Na tom kontu tijekom 2025. godine  knjižio se trošak energetske obnove osnovne škole Đuro Ester, prethodne 2024. godine  godine nije bilo realizacije na navedenom kontu.</w:t>
      </w:r>
    </w:p>
    <w:p w14:paraId="43EA56A5" w14:textId="77777777" w:rsidR="002660AA" w:rsidRDefault="002660AA"/>
    <w:p w14:paraId="100ACA5E" w14:textId="77777777" w:rsidR="002660AA" w:rsidRDefault="009B260F">
      <w:pPr>
        <w:keepNext/>
        <w:spacing w:line="240" w:lineRule="auto"/>
        <w:jc w:val="center"/>
      </w:pPr>
      <w:r>
        <w:rPr>
          <w:sz w:val="28"/>
        </w:rPr>
        <w:t>Bilješka 80.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6803B6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902242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230F7B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B9C906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05DC17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7D32B6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B35B57C" w14:textId="77777777" w:rsidR="002660AA" w:rsidRDefault="009B260F">
            <w:pPr>
              <w:keepNext/>
              <w:keepLines/>
              <w:spacing w:after="0" w:line="240" w:lineRule="auto"/>
              <w:jc w:val="center"/>
            </w:pPr>
            <w:r>
              <w:rPr>
                <w:b/>
                <w:sz w:val="18"/>
              </w:rPr>
              <w:t>Indeks (%)</w:t>
            </w:r>
          </w:p>
        </w:tc>
      </w:tr>
      <w:tr w:rsidR="002660AA" w14:paraId="4BC1CE97" w14:textId="77777777">
        <w:tblPrEx>
          <w:tblCellMar>
            <w:top w:w="0" w:type="dxa"/>
            <w:bottom w:w="0" w:type="dxa"/>
          </w:tblCellMar>
        </w:tblPrEx>
        <w:trPr>
          <w:cantSplit/>
          <w:trHeight w:val="560"/>
        </w:trPr>
        <w:tc>
          <w:tcPr>
            <w:tcW w:w="700" w:type="dxa"/>
            <w:tcMar>
              <w:top w:w="0" w:type="dxa"/>
              <w:bottom w:w="0" w:type="dxa"/>
            </w:tcMar>
            <w:vAlign w:val="center"/>
          </w:tcPr>
          <w:p w14:paraId="60749538" w14:textId="77777777" w:rsidR="002660AA" w:rsidRDefault="009B260F">
            <w:pPr>
              <w:keepNext/>
              <w:keepLines/>
              <w:spacing w:after="0" w:line="240" w:lineRule="auto"/>
            </w:pPr>
            <w:r>
              <w:rPr>
                <w:sz w:val="18"/>
              </w:rPr>
              <w:t>4124</w:t>
            </w:r>
          </w:p>
        </w:tc>
        <w:tc>
          <w:tcPr>
            <w:tcW w:w="3180" w:type="dxa"/>
            <w:tcMar>
              <w:top w:w="0" w:type="dxa"/>
              <w:bottom w:w="0" w:type="dxa"/>
            </w:tcMar>
            <w:vAlign w:val="center"/>
          </w:tcPr>
          <w:p w14:paraId="738D7043" w14:textId="77777777" w:rsidR="002660AA" w:rsidRDefault="009B260F">
            <w:pPr>
              <w:keepNext/>
              <w:keepLines/>
              <w:spacing w:after="0" w:line="240" w:lineRule="auto"/>
            </w:pPr>
            <w:r>
              <w:rPr>
                <w:sz w:val="18"/>
              </w:rPr>
              <w:t>Ostala prava</w:t>
            </w:r>
          </w:p>
        </w:tc>
        <w:tc>
          <w:tcPr>
            <w:tcW w:w="700" w:type="dxa"/>
            <w:tcMar>
              <w:top w:w="0" w:type="dxa"/>
              <w:bottom w:w="0" w:type="dxa"/>
            </w:tcMar>
            <w:vAlign w:val="center"/>
          </w:tcPr>
          <w:p w14:paraId="1418C243" w14:textId="77777777" w:rsidR="002660AA" w:rsidRDefault="009B260F">
            <w:pPr>
              <w:keepNext/>
              <w:keepLines/>
              <w:spacing w:after="0" w:line="240" w:lineRule="auto"/>
            </w:pPr>
            <w:r>
              <w:rPr>
                <w:sz w:val="18"/>
              </w:rPr>
              <w:t>4124</w:t>
            </w:r>
          </w:p>
        </w:tc>
        <w:tc>
          <w:tcPr>
            <w:tcW w:w="1860" w:type="dxa"/>
            <w:tcMar>
              <w:top w:w="0" w:type="dxa"/>
              <w:bottom w:w="0" w:type="dxa"/>
            </w:tcMar>
            <w:vAlign w:val="center"/>
          </w:tcPr>
          <w:p w14:paraId="14E14B00"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2206FD7E" w14:textId="77777777" w:rsidR="002660AA" w:rsidRDefault="009B260F">
            <w:pPr>
              <w:keepNext/>
              <w:keepLines/>
              <w:spacing w:after="0" w:line="240" w:lineRule="auto"/>
              <w:jc w:val="right"/>
            </w:pPr>
            <w:r>
              <w:rPr>
                <w:sz w:val="18"/>
              </w:rPr>
              <w:t>2.045.691,92</w:t>
            </w:r>
          </w:p>
        </w:tc>
        <w:tc>
          <w:tcPr>
            <w:tcW w:w="700" w:type="dxa"/>
            <w:tcMar>
              <w:top w:w="0" w:type="dxa"/>
              <w:bottom w:w="0" w:type="dxa"/>
            </w:tcMar>
            <w:vAlign w:val="center"/>
          </w:tcPr>
          <w:p w14:paraId="013790FC" w14:textId="77777777" w:rsidR="002660AA" w:rsidRDefault="009B260F">
            <w:pPr>
              <w:keepNext/>
              <w:keepLines/>
              <w:spacing w:after="0" w:line="240" w:lineRule="auto"/>
              <w:jc w:val="right"/>
            </w:pPr>
            <w:r>
              <w:rPr>
                <w:sz w:val="18"/>
              </w:rPr>
              <w:t>-</w:t>
            </w:r>
          </w:p>
        </w:tc>
      </w:tr>
    </w:tbl>
    <w:p w14:paraId="651F55CA" w14:textId="77777777" w:rsidR="002660AA" w:rsidRDefault="002660AA">
      <w:pPr>
        <w:spacing w:after="0"/>
      </w:pPr>
    </w:p>
    <w:p w14:paraId="7E2B1101" w14:textId="77777777" w:rsidR="002660AA" w:rsidRDefault="009B260F">
      <w:r>
        <w:t>Na tom kontu tijekom 2025. godine  knjižio se trošak energetske obnove osnovne škole Đuro Ester, prethodne 2024. godine  godine nije bilo realizacije na navedenom kontu.</w:t>
      </w:r>
    </w:p>
    <w:p w14:paraId="55383F69" w14:textId="77777777" w:rsidR="002660AA" w:rsidRDefault="002660AA"/>
    <w:p w14:paraId="69E57649" w14:textId="77777777" w:rsidR="002660AA" w:rsidRDefault="009B260F">
      <w:pPr>
        <w:keepNext/>
        <w:spacing w:line="240" w:lineRule="auto"/>
        <w:jc w:val="center"/>
      </w:pPr>
      <w:r>
        <w:rPr>
          <w:sz w:val="28"/>
        </w:rPr>
        <w:t>Bilješka 81.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5E48CE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2F7B1E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36FB2A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F26313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73B2F2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48C9DA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189934B" w14:textId="77777777" w:rsidR="002660AA" w:rsidRDefault="009B260F">
            <w:pPr>
              <w:keepNext/>
              <w:keepLines/>
              <w:spacing w:after="0" w:line="240" w:lineRule="auto"/>
              <w:jc w:val="center"/>
            </w:pPr>
            <w:r>
              <w:rPr>
                <w:b/>
                <w:sz w:val="18"/>
              </w:rPr>
              <w:t>Indeks (%)</w:t>
            </w:r>
          </w:p>
        </w:tc>
      </w:tr>
      <w:tr w:rsidR="002660AA" w14:paraId="17B70DFD" w14:textId="77777777">
        <w:tblPrEx>
          <w:tblCellMar>
            <w:top w:w="0" w:type="dxa"/>
            <w:bottom w:w="0" w:type="dxa"/>
          </w:tblCellMar>
        </w:tblPrEx>
        <w:trPr>
          <w:cantSplit/>
          <w:trHeight w:val="560"/>
        </w:trPr>
        <w:tc>
          <w:tcPr>
            <w:tcW w:w="700" w:type="dxa"/>
            <w:tcMar>
              <w:top w:w="0" w:type="dxa"/>
              <w:bottom w:w="0" w:type="dxa"/>
            </w:tcMar>
            <w:vAlign w:val="center"/>
          </w:tcPr>
          <w:p w14:paraId="4BFF0A0F" w14:textId="77777777" w:rsidR="002660AA" w:rsidRDefault="009B260F">
            <w:pPr>
              <w:keepNext/>
              <w:keepLines/>
              <w:spacing w:after="0" w:line="240" w:lineRule="auto"/>
            </w:pPr>
            <w:r>
              <w:rPr>
                <w:sz w:val="18"/>
              </w:rPr>
              <w:t>4212</w:t>
            </w:r>
          </w:p>
        </w:tc>
        <w:tc>
          <w:tcPr>
            <w:tcW w:w="3180" w:type="dxa"/>
            <w:tcMar>
              <w:top w:w="0" w:type="dxa"/>
              <w:bottom w:w="0" w:type="dxa"/>
            </w:tcMar>
            <w:vAlign w:val="center"/>
          </w:tcPr>
          <w:p w14:paraId="1231B080" w14:textId="77777777" w:rsidR="002660AA" w:rsidRDefault="009B260F">
            <w:pPr>
              <w:keepNext/>
              <w:keepLines/>
              <w:spacing w:after="0" w:line="240" w:lineRule="auto"/>
            </w:pPr>
            <w:r>
              <w:rPr>
                <w:sz w:val="18"/>
              </w:rPr>
              <w:t>Poslovni objekti</w:t>
            </w:r>
          </w:p>
        </w:tc>
        <w:tc>
          <w:tcPr>
            <w:tcW w:w="700" w:type="dxa"/>
            <w:tcMar>
              <w:top w:w="0" w:type="dxa"/>
              <w:bottom w:w="0" w:type="dxa"/>
            </w:tcMar>
            <w:vAlign w:val="center"/>
          </w:tcPr>
          <w:p w14:paraId="174CEA2E" w14:textId="77777777" w:rsidR="002660AA" w:rsidRDefault="009B260F">
            <w:pPr>
              <w:keepNext/>
              <w:keepLines/>
              <w:spacing w:after="0" w:line="240" w:lineRule="auto"/>
            </w:pPr>
            <w:r>
              <w:rPr>
                <w:sz w:val="18"/>
              </w:rPr>
              <w:t>4212</w:t>
            </w:r>
          </w:p>
        </w:tc>
        <w:tc>
          <w:tcPr>
            <w:tcW w:w="1860" w:type="dxa"/>
            <w:tcMar>
              <w:top w:w="0" w:type="dxa"/>
              <w:bottom w:w="0" w:type="dxa"/>
            </w:tcMar>
            <w:vAlign w:val="center"/>
          </w:tcPr>
          <w:p w14:paraId="7CC0ABB7" w14:textId="77777777" w:rsidR="002660AA" w:rsidRDefault="009B260F">
            <w:pPr>
              <w:keepNext/>
              <w:keepLines/>
              <w:spacing w:after="0" w:line="240" w:lineRule="auto"/>
              <w:jc w:val="right"/>
            </w:pPr>
            <w:r>
              <w:rPr>
                <w:sz w:val="18"/>
              </w:rPr>
              <w:t>2.895.503,58</w:t>
            </w:r>
          </w:p>
        </w:tc>
        <w:tc>
          <w:tcPr>
            <w:tcW w:w="1860" w:type="dxa"/>
            <w:tcMar>
              <w:top w:w="0" w:type="dxa"/>
              <w:bottom w:w="0" w:type="dxa"/>
            </w:tcMar>
            <w:vAlign w:val="center"/>
          </w:tcPr>
          <w:p w14:paraId="068896DA" w14:textId="77777777" w:rsidR="002660AA" w:rsidRDefault="009B260F">
            <w:pPr>
              <w:keepNext/>
              <w:keepLines/>
              <w:spacing w:after="0" w:line="240" w:lineRule="auto"/>
              <w:jc w:val="right"/>
            </w:pPr>
            <w:r>
              <w:rPr>
                <w:sz w:val="18"/>
              </w:rPr>
              <w:t>7.954.840,17</w:t>
            </w:r>
          </w:p>
        </w:tc>
        <w:tc>
          <w:tcPr>
            <w:tcW w:w="700" w:type="dxa"/>
            <w:tcMar>
              <w:top w:w="0" w:type="dxa"/>
              <w:bottom w:w="0" w:type="dxa"/>
            </w:tcMar>
            <w:vAlign w:val="center"/>
          </w:tcPr>
          <w:p w14:paraId="410FD6FA" w14:textId="77777777" w:rsidR="002660AA" w:rsidRDefault="009B260F">
            <w:pPr>
              <w:keepNext/>
              <w:keepLines/>
              <w:spacing w:after="0" w:line="240" w:lineRule="auto"/>
              <w:jc w:val="right"/>
            </w:pPr>
            <w:r>
              <w:rPr>
                <w:sz w:val="18"/>
              </w:rPr>
              <w:t>274,7</w:t>
            </w:r>
          </w:p>
        </w:tc>
      </w:tr>
    </w:tbl>
    <w:p w14:paraId="64A05C3A" w14:textId="77777777" w:rsidR="002660AA" w:rsidRDefault="002660AA">
      <w:pPr>
        <w:spacing w:after="0"/>
      </w:pPr>
    </w:p>
    <w:p w14:paraId="76FF1B8C" w14:textId="77777777" w:rsidR="002660AA" w:rsidRDefault="009B260F">
      <w:r>
        <w:t>Poslovni objekti bilježe značajni rast i izvršenje od 7.954.840,17 EUR. Najveći dio realizacije odnosi se na novo izgrađeni objekt dječjeg vrtića Bajer te dogradnju osnovne škole Braća Radić. </w:t>
      </w:r>
    </w:p>
    <w:p w14:paraId="33D0BB14" w14:textId="77777777" w:rsidR="002660AA" w:rsidRDefault="002660AA"/>
    <w:p w14:paraId="69A5B36C" w14:textId="77777777" w:rsidR="002660AA" w:rsidRDefault="009B260F">
      <w:pPr>
        <w:keepNext/>
        <w:spacing w:line="240" w:lineRule="auto"/>
        <w:jc w:val="center"/>
      </w:pPr>
      <w:r>
        <w:rPr>
          <w:sz w:val="28"/>
        </w:rPr>
        <w:t>Bilješka 82.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0E37DD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4E1292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CF56F4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EB9C42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7A757E7"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9E3E7D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7415840" w14:textId="77777777" w:rsidR="002660AA" w:rsidRDefault="009B260F">
            <w:pPr>
              <w:keepNext/>
              <w:keepLines/>
              <w:spacing w:after="0" w:line="240" w:lineRule="auto"/>
              <w:jc w:val="center"/>
            </w:pPr>
            <w:r>
              <w:rPr>
                <w:b/>
                <w:sz w:val="18"/>
              </w:rPr>
              <w:t>Indeks (%)</w:t>
            </w:r>
          </w:p>
        </w:tc>
      </w:tr>
      <w:tr w:rsidR="002660AA" w14:paraId="2C7EE0F0" w14:textId="77777777">
        <w:tblPrEx>
          <w:tblCellMar>
            <w:top w:w="0" w:type="dxa"/>
            <w:bottom w:w="0" w:type="dxa"/>
          </w:tblCellMar>
        </w:tblPrEx>
        <w:trPr>
          <w:cantSplit/>
          <w:trHeight w:val="560"/>
        </w:trPr>
        <w:tc>
          <w:tcPr>
            <w:tcW w:w="700" w:type="dxa"/>
            <w:tcMar>
              <w:top w:w="0" w:type="dxa"/>
              <w:bottom w:w="0" w:type="dxa"/>
            </w:tcMar>
            <w:vAlign w:val="center"/>
          </w:tcPr>
          <w:p w14:paraId="525FA534" w14:textId="77777777" w:rsidR="002660AA" w:rsidRDefault="009B260F">
            <w:pPr>
              <w:keepNext/>
              <w:keepLines/>
              <w:spacing w:after="0" w:line="240" w:lineRule="auto"/>
            </w:pPr>
            <w:r>
              <w:rPr>
                <w:sz w:val="18"/>
              </w:rPr>
              <w:t>4213</w:t>
            </w:r>
          </w:p>
        </w:tc>
        <w:tc>
          <w:tcPr>
            <w:tcW w:w="3180" w:type="dxa"/>
            <w:tcMar>
              <w:top w:w="0" w:type="dxa"/>
              <w:bottom w:w="0" w:type="dxa"/>
            </w:tcMar>
            <w:vAlign w:val="center"/>
          </w:tcPr>
          <w:p w14:paraId="3A519EA6" w14:textId="77777777" w:rsidR="002660AA" w:rsidRDefault="009B260F">
            <w:pPr>
              <w:keepNext/>
              <w:keepLines/>
              <w:spacing w:after="0" w:line="240" w:lineRule="auto"/>
            </w:pPr>
            <w:r>
              <w:rPr>
                <w:sz w:val="18"/>
              </w:rPr>
              <w:t>Ceste, željeznice i ostali prometni objekti</w:t>
            </w:r>
          </w:p>
        </w:tc>
        <w:tc>
          <w:tcPr>
            <w:tcW w:w="700" w:type="dxa"/>
            <w:tcMar>
              <w:top w:w="0" w:type="dxa"/>
              <w:bottom w:w="0" w:type="dxa"/>
            </w:tcMar>
            <w:vAlign w:val="center"/>
          </w:tcPr>
          <w:p w14:paraId="68400937" w14:textId="77777777" w:rsidR="002660AA" w:rsidRDefault="009B260F">
            <w:pPr>
              <w:keepNext/>
              <w:keepLines/>
              <w:spacing w:after="0" w:line="240" w:lineRule="auto"/>
            </w:pPr>
            <w:r>
              <w:rPr>
                <w:sz w:val="18"/>
              </w:rPr>
              <w:t>4213</w:t>
            </w:r>
          </w:p>
        </w:tc>
        <w:tc>
          <w:tcPr>
            <w:tcW w:w="1860" w:type="dxa"/>
            <w:tcMar>
              <w:top w:w="0" w:type="dxa"/>
              <w:bottom w:w="0" w:type="dxa"/>
            </w:tcMar>
            <w:vAlign w:val="center"/>
          </w:tcPr>
          <w:p w14:paraId="7BAE64AF" w14:textId="77777777" w:rsidR="002660AA" w:rsidRDefault="009B260F">
            <w:pPr>
              <w:keepNext/>
              <w:keepLines/>
              <w:spacing w:after="0" w:line="240" w:lineRule="auto"/>
              <w:jc w:val="right"/>
            </w:pPr>
            <w:r>
              <w:rPr>
                <w:sz w:val="18"/>
              </w:rPr>
              <w:t>1.639.931,29</w:t>
            </w:r>
          </w:p>
        </w:tc>
        <w:tc>
          <w:tcPr>
            <w:tcW w:w="1860" w:type="dxa"/>
            <w:tcMar>
              <w:top w:w="0" w:type="dxa"/>
              <w:bottom w:w="0" w:type="dxa"/>
            </w:tcMar>
            <w:vAlign w:val="center"/>
          </w:tcPr>
          <w:p w14:paraId="6C598861" w14:textId="77777777" w:rsidR="002660AA" w:rsidRDefault="009B260F">
            <w:pPr>
              <w:keepNext/>
              <w:keepLines/>
              <w:spacing w:after="0" w:line="240" w:lineRule="auto"/>
              <w:jc w:val="right"/>
            </w:pPr>
            <w:r>
              <w:rPr>
                <w:sz w:val="18"/>
              </w:rPr>
              <w:t>2.980.681,65</w:t>
            </w:r>
          </w:p>
        </w:tc>
        <w:tc>
          <w:tcPr>
            <w:tcW w:w="700" w:type="dxa"/>
            <w:tcMar>
              <w:top w:w="0" w:type="dxa"/>
              <w:bottom w:w="0" w:type="dxa"/>
            </w:tcMar>
            <w:vAlign w:val="center"/>
          </w:tcPr>
          <w:p w14:paraId="41D1E65A" w14:textId="77777777" w:rsidR="002660AA" w:rsidRDefault="009B260F">
            <w:pPr>
              <w:keepNext/>
              <w:keepLines/>
              <w:spacing w:after="0" w:line="240" w:lineRule="auto"/>
              <w:jc w:val="right"/>
            </w:pPr>
            <w:r>
              <w:rPr>
                <w:sz w:val="18"/>
              </w:rPr>
              <w:t>181,8</w:t>
            </w:r>
          </w:p>
        </w:tc>
      </w:tr>
    </w:tbl>
    <w:p w14:paraId="1A8833A7" w14:textId="77777777" w:rsidR="002660AA" w:rsidRDefault="002660AA">
      <w:pPr>
        <w:spacing w:after="0"/>
      </w:pPr>
    </w:p>
    <w:p w14:paraId="763246AF" w14:textId="77777777" w:rsidR="002660AA" w:rsidRDefault="009B260F">
      <w:r>
        <w:t>Značajni porast bilježi se radi troška rekonstrukcije ul. A. Starčevića te dovršetak izgradnje spojne ceste Peteranska – Herešin.</w:t>
      </w:r>
    </w:p>
    <w:p w14:paraId="01CEB08C" w14:textId="77777777" w:rsidR="002660AA" w:rsidRDefault="009B260F">
      <w:r>
        <w:t> </w:t>
      </w:r>
    </w:p>
    <w:p w14:paraId="71579FD5" w14:textId="77777777" w:rsidR="002660AA" w:rsidRDefault="002660AA"/>
    <w:p w14:paraId="499B9854" w14:textId="77777777" w:rsidR="002660AA" w:rsidRDefault="009B260F">
      <w:pPr>
        <w:keepNext/>
        <w:spacing w:line="240" w:lineRule="auto"/>
        <w:jc w:val="center"/>
      </w:pPr>
      <w:r>
        <w:rPr>
          <w:sz w:val="28"/>
        </w:rPr>
        <w:t>Bilješka 83.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5DD0C0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12FB949"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EE41F8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099669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026B3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FD77F6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93EB61C" w14:textId="77777777" w:rsidR="002660AA" w:rsidRDefault="009B260F">
            <w:pPr>
              <w:keepNext/>
              <w:keepLines/>
              <w:spacing w:after="0" w:line="240" w:lineRule="auto"/>
              <w:jc w:val="center"/>
            </w:pPr>
            <w:r>
              <w:rPr>
                <w:b/>
                <w:sz w:val="18"/>
              </w:rPr>
              <w:t>Indeks (%)</w:t>
            </w:r>
          </w:p>
        </w:tc>
      </w:tr>
      <w:tr w:rsidR="002660AA" w14:paraId="190D5B6A" w14:textId="77777777">
        <w:tblPrEx>
          <w:tblCellMar>
            <w:top w:w="0" w:type="dxa"/>
            <w:bottom w:w="0" w:type="dxa"/>
          </w:tblCellMar>
        </w:tblPrEx>
        <w:trPr>
          <w:cantSplit/>
          <w:trHeight w:val="560"/>
        </w:trPr>
        <w:tc>
          <w:tcPr>
            <w:tcW w:w="700" w:type="dxa"/>
            <w:tcMar>
              <w:top w:w="0" w:type="dxa"/>
              <w:bottom w:w="0" w:type="dxa"/>
            </w:tcMar>
            <w:vAlign w:val="center"/>
          </w:tcPr>
          <w:p w14:paraId="5C23BA7E" w14:textId="77777777" w:rsidR="002660AA" w:rsidRDefault="009B260F">
            <w:pPr>
              <w:keepNext/>
              <w:keepLines/>
              <w:spacing w:after="0" w:line="240" w:lineRule="auto"/>
            </w:pPr>
            <w:r>
              <w:rPr>
                <w:sz w:val="18"/>
              </w:rPr>
              <w:t>4214</w:t>
            </w:r>
          </w:p>
        </w:tc>
        <w:tc>
          <w:tcPr>
            <w:tcW w:w="3180" w:type="dxa"/>
            <w:tcMar>
              <w:top w:w="0" w:type="dxa"/>
              <w:bottom w:w="0" w:type="dxa"/>
            </w:tcMar>
            <w:vAlign w:val="center"/>
          </w:tcPr>
          <w:p w14:paraId="61B64BF6" w14:textId="77777777" w:rsidR="002660AA" w:rsidRDefault="009B260F">
            <w:pPr>
              <w:keepNext/>
              <w:keepLines/>
              <w:spacing w:after="0" w:line="240" w:lineRule="auto"/>
            </w:pPr>
            <w:r>
              <w:rPr>
                <w:sz w:val="18"/>
              </w:rPr>
              <w:t>Ostali građevinski objekti</w:t>
            </w:r>
          </w:p>
        </w:tc>
        <w:tc>
          <w:tcPr>
            <w:tcW w:w="700" w:type="dxa"/>
            <w:tcMar>
              <w:top w:w="0" w:type="dxa"/>
              <w:bottom w:w="0" w:type="dxa"/>
            </w:tcMar>
            <w:vAlign w:val="center"/>
          </w:tcPr>
          <w:p w14:paraId="298D148E" w14:textId="77777777" w:rsidR="002660AA" w:rsidRDefault="009B260F">
            <w:pPr>
              <w:keepNext/>
              <w:keepLines/>
              <w:spacing w:after="0" w:line="240" w:lineRule="auto"/>
            </w:pPr>
            <w:r>
              <w:rPr>
                <w:sz w:val="18"/>
              </w:rPr>
              <w:t>4214</w:t>
            </w:r>
          </w:p>
        </w:tc>
        <w:tc>
          <w:tcPr>
            <w:tcW w:w="1860" w:type="dxa"/>
            <w:tcMar>
              <w:top w:w="0" w:type="dxa"/>
              <w:bottom w:w="0" w:type="dxa"/>
            </w:tcMar>
            <w:vAlign w:val="center"/>
          </w:tcPr>
          <w:p w14:paraId="245A4C8D" w14:textId="77777777" w:rsidR="002660AA" w:rsidRDefault="009B260F">
            <w:pPr>
              <w:keepNext/>
              <w:keepLines/>
              <w:spacing w:after="0" w:line="240" w:lineRule="auto"/>
              <w:jc w:val="right"/>
            </w:pPr>
            <w:r>
              <w:rPr>
                <w:sz w:val="18"/>
              </w:rPr>
              <w:t>2.396.858,78</w:t>
            </w:r>
          </w:p>
        </w:tc>
        <w:tc>
          <w:tcPr>
            <w:tcW w:w="1860" w:type="dxa"/>
            <w:tcMar>
              <w:top w:w="0" w:type="dxa"/>
              <w:bottom w:w="0" w:type="dxa"/>
            </w:tcMar>
            <w:vAlign w:val="center"/>
          </w:tcPr>
          <w:p w14:paraId="37378335" w14:textId="77777777" w:rsidR="002660AA" w:rsidRDefault="009B260F">
            <w:pPr>
              <w:keepNext/>
              <w:keepLines/>
              <w:spacing w:after="0" w:line="240" w:lineRule="auto"/>
              <w:jc w:val="right"/>
            </w:pPr>
            <w:r>
              <w:rPr>
                <w:sz w:val="18"/>
              </w:rPr>
              <w:t>3.478.046,73</w:t>
            </w:r>
          </w:p>
        </w:tc>
        <w:tc>
          <w:tcPr>
            <w:tcW w:w="700" w:type="dxa"/>
            <w:tcMar>
              <w:top w:w="0" w:type="dxa"/>
              <w:bottom w:w="0" w:type="dxa"/>
            </w:tcMar>
            <w:vAlign w:val="center"/>
          </w:tcPr>
          <w:p w14:paraId="67B154C1" w14:textId="77777777" w:rsidR="002660AA" w:rsidRDefault="009B260F">
            <w:pPr>
              <w:keepNext/>
              <w:keepLines/>
              <w:spacing w:after="0" w:line="240" w:lineRule="auto"/>
              <w:jc w:val="right"/>
            </w:pPr>
            <w:r>
              <w:rPr>
                <w:sz w:val="18"/>
              </w:rPr>
              <w:t>145,1</w:t>
            </w:r>
          </w:p>
        </w:tc>
      </w:tr>
    </w:tbl>
    <w:p w14:paraId="3078A92E" w14:textId="77777777" w:rsidR="002660AA" w:rsidRDefault="002660AA">
      <w:pPr>
        <w:spacing w:after="0"/>
      </w:pPr>
    </w:p>
    <w:p w14:paraId="1FFF21FB" w14:textId="77777777" w:rsidR="002660AA" w:rsidRDefault="009B260F">
      <w:r>
        <w:t>Na navedenom AOP-u bilježi se rast od 45 posto radi provođenja projekata izgradnje Sortirnice i rekonstrukcije Sinagoge.</w:t>
      </w:r>
    </w:p>
    <w:p w14:paraId="19C74C9D" w14:textId="77777777" w:rsidR="002660AA" w:rsidRDefault="002660AA"/>
    <w:p w14:paraId="0DD2DFE1" w14:textId="77777777" w:rsidR="002660AA" w:rsidRDefault="009B260F">
      <w:pPr>
        <w:keepNext/>
        <w:spacing w:line="240" w:lineRule="auto"/>
        <w:jc w:val="center"/>
      </w:pPr>
      <w:r>
        <w:rPr>
          <w:sz w:val="28"/>
        </w:rPr>
        <w:t>Bilješka 84.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CD7514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DE3811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BDC651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11DEDA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4330D8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59A3F5E"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97DDEC0" w14:textId="77777777" w:rsidR="002660AA" w:rsidRDefault="009B260F">
            <w:pPr>
              <w:keepNext/>
              <w:keepLines/>
              <w:spacing w:after="0" w:line="240" w:lineRule="auto"/>
              <w:jc w:val="center"/>
            </w:pPr>
            <w:r>
              <w:rPr>
                <w:b/>
                <w:sz w:val="18"/>
              </w:rPr>
              <w:t>Indeks (%)</w:t>
            </w:r>
          </w:p>
        </w:tc>
      </w:tr>
      <w:tr w:rsidR="002660AA" w14:paraId="558D38FA" w14:textId="77777777">
        <w:tblPrEx>
          <w:tblCellMar>
            <w:top w:w="0" w:type="dxa"/>
            <w:bottom w:w="0" w:type="dxa"/>
          </w:tblCellMar>
        </w:tblPrEx>
        <w:trPr>
          <w:cantSplit/>
          <w:trHeight w:val="560"/>
        </w:trPr>
        <w:tc>
          <w:tcPr>
            <w:tcW w:w="700" w:type="dxa"/>
            <w:tcMar>
              <w:top w:w="0" w:type="dxa"/>
              <w:bottom w:w="0" w:type="dxa"/>
            </w:tcMar>
            <w:vAlign w:val="center"/>
          </w:tcPr>
          <w:p w14:paraId="6B55EF5A" w14:textId="77777777" w:rsidR="002660AA" w:rsidRDefault="009B260F">
            <w:pPr>
              <w:keepNext/>
              <w:keepLines/>
              <w:spacing w:after="0" w:line="240" w:lineRule="auto"/>
            </w:pPr>
            <w:r>
              <w:rPr>
                <w:sz w:val="18"/>
              </w:rPr>
              <w:t>4221</w:t>
            </w:r>
          </w:p>
        </w:tc>
        <w:tc>
          <w:tcPr>
            <w:tcW w:w="3180" w:type="dxa"/>
            <w:tcMar>
              <w:top w:w="0" w:type="dxa"/>
              <w:bottom w:w="0" w:type="dxa"/>
            </w:tcMar>
            <w:vAlign w:val="center"/>
          </w:tcPr>
          <w:p w14:paraId="5ACC3286" w14:textId="77777777" w:rsidR="002660AA" w:rsidRDefault="009B260F">
            <w:pPr>
              <w:keepNext/>
              <w:keepLines/>
              <w:spacing w:after="0" w:line="240" w:lineRule="auto"/>
            </w:pPr>
            <w:r>
              <w:rPr>
                <w:sz w:val="18"/>
              </w:rPr>
              <w:t>Uredska oprema i namještaj</w:t>
            </w:r>
          </w:p>
        </w:tc>
        <w:tc>
          <w:tcPr>
            <w:tcW w:w="700" w:type="dxa"/>
            <w:tcMar>
              <w:top w:w="0" w:type="dxa"/>
              <w:bottom w:w="0" w:type="dxa"/>
            </w:tcMar>
            <w:vAlign w:val="center"/>
          </w:tcPr>
          <w:p w14:paraId="66BB2EFF" w14:textId="77777777" w:rsidR="002660AA" w:rsidRDefault="009B260F">
            <w:pPr>
              <w:keepNext/>
              <w:keepLines/>
              <w:spacing w:after="0" w:line="240" w:lineRule="auto"/>
            </w:pPr>
            <w:r>
              <w:rPr>
                <w:sz w:val="18"/>
              </w:rPr>
              <w:t>4221</w:t>
            </w:r>
          </w:p>
        </w:tc>
        <w:tc>
          <w:tcPr>
            <w:tcW w:w="1860" w:type="dxa"/>
            <w:tcMar>
              <w:top w:w="0" w:type="dxa"/>
              <w:bottom w:w="0" w:type="dxa"/>
            </w:tcMar>
            <w:vAlign w:val="center"/>
          </w:tcPr>
          <w:p w14:paraId="3606D131" w14:textId="77777777" w:rsidR="002660AA" w:rsidRDefault="009B260F">
            <w:pPr>
              <w:keepNext/>
              <w:keepLines/>
              <w:spacing w:after="0" w:line="240" w:lineRule="auto"/>
              <w:jc w:val="right"/>
            </w:pPr>
            <w:r>
              <w:rPr>
                <w:sz w:val="18"/>
              </w:rPr>
              <w:t>161.519,98</w:t>
            </w:r>
          </w:p>
        </w:tc>
        <w:tc>
          <w:tcPr>
            <w:tcW w:w="1860" w:type="dxa"/>
            <w:tcMar>
              <w:top w:w="0" w:type="dxa"/>
              <w:bottom w:w="0" w:type="dxa"/>
            </w:tcMar>
            <w:vAlign w:val="center"/>
          </w:tcPr>
          <w:p w14:paraId="3E941580" w14:textId="77777777" w:rsidR="002660AA" w:rsidRDefault="009B260F">
            <w:pPr>
              <w:keepNext/>
              <w:keepLines/>
              <w:spacing w:after="0" w:line="240" w:lineRule="auto"/>
              <w:jc w:val="right"/>
            </w:pPr>
            <w:r>
              <w:rPr>
                <w:sz w:val="18"/>
              </w:rPr>
              <w:t>354.808,75</w:t>
            </w:r>
          </w:p>
        </w:tc>
        <w:tc>
          <w:tcPr>
            <w:tcW w:w="700" w:type="dxa"/>
            <w:tcMar>
              <w:top w:w="0" w:type="dxa"/>
              <w:bottom w:w="0" w:type="dxa"/>
            </w:tcMar>
            <w:vAlign w:val="center"/>
          </w:tcPr>
          <w:p w14:paraId="52099B07" w14:textId="77777777" w:rsidR="002660AA" w:rsidRDefault="009B260F">
            <w:pPr>
              <w:keepNext/>
              <w:keepLines/>
              <w:spacing w:after="0" w:line="240" w:lineRule="auto"/>
              <w:jc w:val="right"/>
            </w:pPr>
            <w:r>
              <w:rPr>
                <w:sz w:val="18"/>
              </w:rPr>
              <w:t>219,7</w:t>
            </w:r>
          </w:p>
        </w:tc>
      </w:tr>
    </w:tbl>
    <w:p w14:paraId="25CFBC11" w14:textId="77777777" w:rsidR="002660AA" w:rsidRDefault="002660AA">
      <w:pPr>
        <w:spacing w:after="0"/>
      </w:pPr>
    </w:p>
    <w:p w14:paraId="2D6EAB93" w14:textId="77777777" w:rsidR="002660AA" w:rsidRDefault="009B260F">
      <w:r>
        <w:t>Porast se bilježi radi troškova opremanja novoizgrađenog vrtića Bajer.</w:t>
      </w:r>
    </w:p>
    <w:p w14:paraId="09B8E040" w14:textId="77777777" w:rsidR="002660AA" w:rsidRDefault="002660AA"/>
    <w:p w14:paraId="147FB36C" w14:textId="77777777" w:rsidR="002660AA" w:rsidRDefault="009B260F">
      <w:pPr>
        <w:keepNext/>
        <w:spacing w:line="240" w:lineRule="auto"/>
        <w:jc w:val="center"/>
      </w:pPr>
      <w:r>
        <w:rPr>
          <w:sz w:val="28"/>
        </w:rPr>
        <w:t>Bilješka 85.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CB71DF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212E43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9CAE63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7EF38C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F61345B"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F2264A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57BE2C2" w14:textId="77777777" w:rsidR="002660AA" w:rsidRDefault="009B260F">
            <w:pPr>
              <w:keepNext/>
              <w:keepLines/>
              <w:spacing w:after="0" w:line="240" w:lineRule="auto"/>
              <w:jc w:val="center"/>
            </w:pPr>
            <w:r>
              <w:rPr>
                <w:b/>
                <w:sz w:val="18"/>
              </w:rPr>
              <w:t>Indeks (%)</w:t>
            </w:r>
          </w:p>
        </w:tc>
      </w:tr>
      <w:tr w:rsidR="002660AA" w14:paraId="28C024C1" w14:textId="77777777">
        <w:tblPrEx>
          <w:tblCellMar>
            <w:top w:w="0" w:type="dxa"/>
            <w:bottom w:w="0" w:type="dxa"/>
          </w:tblCellMar>
        </w:tblPrEx>
        <w:trPr>
          <w:cantSplit/>
          <w:trHeight w:val="560"/>
        </w:trPr>
        <w:tc>
          <w:tcPr>
            <w:tcW w:w="700" w:type="dxa"/>
            <w:tcMar>
              <w:top w:w="0" w:type="dxa"/>
              <w:bottom w:w="0" w:type="dxa"/>
            </w:tcMar>
            <w:vAlign w:val="center"/>
          </w:tcPr>
          <w:p w14:paraId="68067A3B" w14:textId="77777777" w:rsidR="002660AA" w:rsidRDefault="009B260F">
            <w:pPr>
              <w:keepNext/>
              <w:keepLines/>
              <w:spacing w:after="0" w:line="240" w:lineRule="auto"/>
            </w:pPr>
            <w:r>
              <w:rPr>
                <w:sz w:val="18"/>
              </w:rPr>
              <w:t>4222</w:t>
            </w:r>
          </w:p>
        </w:tc>
        <w:tc>
          <w:tcPr>
            <w:tcW w:w="3180" w:type="dxa"/>
            <w:tcMar>
              <w:top w:w="0" w:type="dxa"/>
              <w:bottom w:w="0" w:type="dxa"/>
            </w:tcMar>
            <w:vAlign w:val="center"/>
          </w:tcPr>
          <w:p w14:paraId="5B8C04EB" w14:textId="77777777" w:rsidR="002660AA" w:rsidRDefault="009B260F">
            <w:pPr>
              <w:keepNext/>
              <w:keepLines/>
              <w:spacing w:after="0" w:line="240" w:lineRule="auto"/>
            </w:pPr>
            <w:r>
              <w:rPr>
                <w:sz w:val="18"/>
              </w:rPr>
              <w:t>Komunikacijska oprema</w:t>
            </w:r>
          </w:p>
        </w:tc>
        <w:tc>
          <w:tcPr>
            <w:tcW w:w="700" w:type="dxa"/>
            <w:tcMar>
              <w:top w:w="0" w:type="dxa"/>
              <w:bottom w:w="0" w:type="dxa"/>
            </w:tcMar>
            <w:vAlign w:val="center"/>
          </w:tcPr>
          <w:p w14:paraId="25A5A342" w14:textId="77777777" w:rsidR="002660AA" w:rsidRDefault="009B260F">
            <w:pPr>
              <w:keepNext/>
              <w:keepLines/>
              <w:spacing w:after="0" w:line="240" w:lineRule="auto"/>
            </w:pPr>
            <w:r>
              <w:rPr>
                <w:sz w:val="18"/>
              </w:rPr>
              <w:t>4222</w:t>
            </w:r>
          </w:p>
        </w:tc>
        <w:tc>
          <w:tcPr>
            <w:tcW w:w="1860" w:type="dxa"/>
            <w:tcMar>
              <w:top w:w="0" w:type="dxa"/>
              <w:bottom w:w="0" w:type="dxa"/>
            </w:tcMar>
            <w:vAlign w:val="center"/>
          </w:tcPr>
          <w:p w14:paraId="5E74E66E" w14:textId="77777777" w:rsidR="002660AA" w:rsidRDefault="009B260F">
            <w:pPr>
              <w:keepNext/>
              <w:keepLines/>
              <w:spacing w:after="0" w:line="240" w:lineRule="auto"/>
              <w:jc w:val="right"/>
            </w:pPr>
            <w:r>
              <w:rPr>
                <w:sz w:val="18"/>
              </w:rPr>
              <w:t>387,50</w:t>
            </w:r>
          </w:p>
        </w:tc>
        <w:tc>
          <w:tcPr>
            <w:tcW w:w="1860" w:type="dxa"/>
            <w:tcMar>
              <w:top w:w="0" w:type="dxa"/>
              <w:bottom w:w="0" w:type="dxa"/>
            </w:tcMar>
            <w:vAlign w:val="center"/>
          </w:tcPr>
          <w:p w14:paraId="45B8E06E" w14:textId="77777777" w:rsidR="002660AA" w:rsidRDefault="009B260F">
            <w:pPr>
              <w:keepNext/>
              <w:keepLines/>
              <w:spacing w:after="0" w:line="240" w:lineRule="auto"/>
              <w:jc w:val="right"/>
            </w:pPr>
            <w:r>
              <w:rPr>
                <w:sz w:val="18"/>
              </w:rPr>
              <w:t>8.670,00</w:t>
            </w:r>
          </w:p>
        </w:tc>
        <w:tc>
          <w:tcPr>
            <w:tcW w:w="700" w:type="dxa"/>
            <w:tcMar>
              <w:top w:w="0" w:type="dxa"/>
              <w:bottom w:w="0" w:type="dxa"/>
            </w:tcMar>
            <w:vAlign w:val="center"/>
          </w:tcPr>
          <w:p w14:paraId="6086A6F6" w14:textId="77777777" w:rsidR="002660AA" w:rsidRDefault="009B260F">
            <w:pPr>
              <w:keepNext/>
              <w:keepLines/>
              <w:spacing w:after="0" w:line="240" w:lineRule="auto"/>
              <w:jc w:val="right"/>
            </w:pPr>
            <w:r>
              <w:rPr>
                <w:sz w:val="18"/>
              </w:rPr>
              <w:t>2237,4</w:t>
            </w:r>
          </w:p>
        </w:tc>
      </w:tr>
    </w:tbl>
    <w:p w14:paraId="6E4EBD7A" w14:textId="77777777" w:rsidR="002660AA" w:rsidRDefault="002660AA">
      <w:pPr>
        <w:spacing w:after="0"/>
      </w:pPr>
    </w:p>
    <w:p w14:paraId="5DC7E874" w14:textId="77777777" w:rsidR="002660AA" w:rsidRDefault="009B260F">
      <w:r>
        <w:t>Rast se bilježi radi kupnje novih mobilnih uređaja.</w:t>
      </w:r>
    </w:p>
    <w:p w14:paraId="592DA326" w14:textId="77777777" w:rsidR="002660AA" w:rsidRDefault="002660AA"/>
    <w:p w14:paraId="46D8D00E" w14:textId="77777777" w:rsidR="002660AA" w:rsidRDefault="009B260F">
      <w:pPr>
        <w:keepNext/>
        <w:spacing w:line="240" w:lineRule="auto"/>
        <w:jc w:val="center"/>
      </w:pPr>
      <w:r>
        <w:rPr>
          <w:sz w:val="28"/>
        </w:rPr>
        <w:t>Bilješka 86.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941D91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6B28E7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B103BD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8D5051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F32317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3A01C0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05F7614" w14:textId="77777777" w:rsidR="002660AA" w:rsidRDefault="009B260F">
            <w:pPr>
              <w:keepNext/>
              <w:keepLines/>
              <w:spacing w:after="0" w:line="240" w:lineRule="auto"/>
              <w:jc w:val="center"/>
            </w:pPr>
            <w:r>
              <w:rPr>
                <w:b/>
                <w:sz w:val="18"/>
              </w:rPr>
              <w:t>Indeks (%)</w:t>
            </w:r>
          </w:p>
        </w:tc>
      </w:tr>
      <w:tr w:rsidR="002660AA" w14:paraId="28C30A15" w14:textId="77777777">
        <w:tblPrEx>
          <w:tblCellMar>
            <w:top w:w="0" w:type="dxa"/>
            <w:bottom w:w="0" w:type="dxa"/>
          </w:tblCellMar>
        </w:tblPrEx>
        <w:trPr>
          <w:cantSplit/>
          <w:trHeight w:val="560"/>
        </w:trPr>
        <w:tc>
          <w:tcPr>
            <w:tcW w:w="700" w:type="dxa"/>
            <w:tcMar>
              <w:top w:w="0" w:type="dxa"/>
              <w:bottom w:w="0" w:type="dxa"/>
            </w:tcMar>
            <w:vAlign w:val="center"/>
          </w:tcPr>
          <w:p w14:paraId="7E335DC3" w14:textId="77777777" w:rsidR="002660AA" w:rsidRDefault="009B260F">
            <w:pPr>
              <w:keepNext/>
              <w:keepLines/>
              <w:spacing w:after="0" w:line="240" w:lineRule="auto"/>
            </w:pPr>
            <w:r>
              <w:rPr>
                <w:sz w:val="18"/>
              </w:rPr>
              <w:t>4223</w:t>
            </w:r>
          </w:p>
        </w:tc>
        <w:tc>
          <w:tcPr>
            <w:tcW w:w="3180" w:type="dxa"/>
            <w:tcMar>
              <w:top w:w="0" w:type="dxa"/>
              <w:bottom w:w="0" w:type="dxa"/>
            </w:tcMar>
            <w:vAlign w:val="center"/>
          </w:tcPr>
          <w:p w14:paraId="13A10A70" w14:textId="77777777" w:rsidR="002660AA" w:rsidRDefault="009B260F">
            <w:pPr>
              <w:keepNext/>
              <w:keepLines/>
              <w:spacing w:after="0" w:line="240" w:lineRule="auto"/>
            </w:pPr>
            <w:r>
              <w:rPr>
                <w:sz w:val="18"/>
              </w:rPr>
              <w:t>Oprema za održavanje i zaštitu</w:t>
            </w:r>
          </w:p>
        </w:tc>
        <w:tc>
          <w:tcPr>
            <w:tcW w:w="700" w:type="dxa"/>
            <w:tcMar>
              <w:top w:w="0" w:type="dxa"/>
              <w:bottom w:w="0" w:type="dxa"/>
            </w:tcMar>
            <w:vAlign w:val="center"/>
          </w:tcPr>
          <w:p w14:paraId="241A2343" w14:textId="77777777" w:rsidR="002660AA" w:rsidRDefault="009B260F">
            <w:pPr>
              <w:keepNext/>
              <w:keepLines/>
              <w:spacing w:after="0" w:line="240" w:lineRule="auto"/>
            </w:pPr>
            <w:r>
              <w:rPr>
                <w:sz w:val="18"/>
              </w:rPr>
              <w:t>4223</w:t>
            </w:r>
          </w:p>
        </w:tc>
        <w:tc>
          <w:tcPr>
            <w:tcW w:w="1860" w:type="dxa"/>
            <w:tcMar>
              <w:top w:w="0" w:type="dxa"/>
              <w:bottom w:w="0" w:type="dxa"/>
            </w:tcMar>
            <w:vAlign w:val="center"/>
          </w:tcPr>
          <w:p w14:paraId="19C77A23" w14:textId="77777777" w:rsidR="002660AA" w:rsidRDefault="009B260F">
            <w:pPr>
              <w:keepNext/>
              <w:keepLines/>
              <w:spacing w:after="0" w:line="240" w:lineRule="auto"/>
              <w:jc w:val="right"/>
            </w:pPr>
            <w:r>
              <w:rPr>
                <w:sz w:val="18"/>
              </w:rPr>
              <w:t>15.796,44</w:t>
            </w:r>
          </w:p>
        </w:tc>
        <w:tc>
          <w:tcPr>
            <w:tcW w:w="1860" w:type="dxa"/>
            <w:tcMar>
              <w:top w:w="0" w:type="dxa"/>
              <w:bottom w:w="0" w:type="dxa"/>
            </w:tcMar>
            <w:vAlign w:val="center"/>
          </w:tcPr>
          <w:p w14:paraId="14A55E6B" w14:textId="77777777" w:rsidR="002660AA" w:rsidRDefault="009B260F">
            <w:pPr>
              <w:keepNext/>
              <w:keepLines/>
              <w:spacing w:after="0" w:line="240" w:lineRule="auto"/>
              <w:jc w:val="right"/>
            </w:pPr>
            <w:r>
              <w:rPr>
                <w:sz w:val="18"/>
              </w:rPr>
              <w:t>5.569,01</w:t>
            </w:r>
          </w:p>
        </w:tc>
        <w:tc>
          <w:tcPr>
            <w:tcW w:w="700" w:type="dxa"/>
            <w:tcMar>
              <w:top w:w="0" w:type="dxa"/>
              <w:bottom w:w="0" w:type="dxa"/>
            </w:tcMar>
            <w:vAlign w:val="center"/>
          </w:tcPr>
          <w:p w14:paraId="2723F036" w14:textId="77777777" w:rsidR="002660AA" w:rsidRDefault="009B260F">
            <w:pPr>
              <w:keepNext/>
              <w:keepLines/>
              <w:spacing w:after="0" w:line="240" w:lineRule="auto"/>
              <w:jc w:val="right"/>
            </w:pPr>
            <w:r>
              <w:rPr>
                <w:sz w:val="18"/>
              </w:rPr>
              <w:t>35,3</w:t>
            </w:r>
          </w:p>
        </w:tc>
      </w:tr>
    </w:tbl>
    <w:p w14:paraId="5D667F86" w14:textId="77777777" w:rsidR="002660AA" w:rsidRDefault="002660AA">
      <w:pPr>
        <w:spacing w:after="0"/>
      </w:pPr>
    </w:p>
    <w:p w14:paraId="403724DA" w14:textId="77777777" w:rsidR="002660AA" w:rsidRDefault="009B260F">
      <w:r>
        <w:t>Pad se evidentira jer se tijekom 2024. godine provodio projekt nabave opreme i rasadnog materijala za uzgoj sadnica u rasadničkoj proizvodnji.</w:t>
      </w:r>
    </w:p>
    <w:p w14:paraId="1E8D8BA0" w14:textId="77777777" w:rsidR="002660AA" w:rsidRDefault="002660AA"/>
    <w:p w14:paraId="37323717" w14:textId="77777777" w:rsidR="002660AA" w:rsidRDefault="009B260F">
      <w:pPr>
        <w:keepNext/>
        <w:spacing w:line="240" w:lineRule="auto"/>
        <w:jc w:val="center"/>
      </w:pPr>
      <w:r>
        <w:rPr>
          <w:sz w:val="28"/>
        </w:rPr>
        <w:t>Bilješka 87.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063ED4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C784F8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E8F2C7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5AA46F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072761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228EE7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75198EA" w14:textId="77777777" w:rsidR="002660AA" w:rsidRDefault="009B260F">
            <w:pPr>
              <w:keepNext/>
              <w:keepLines/>
              <w:spacing w:after="0" w:line="240" w:lineRule="auto"/>
              <w:jc w:val="center"/>
            </w:pPr>
            <w:r>
              <w:rPr>
                <w:b/>
                <w:sz w:val="18"/>
              </w:rPr>
              <w:t>Indeks (%)</w:t>
            </w:r>
          </w:p>
        </w:tc>
      </w:tr>
      <w:tr w:rsidR="002660AA" w14:paraId="3EE1B6ED" w14:textId="77777777">
        <w:tblPrEx>
          <w:tblCellMar>
            <w:top w:w="0" w:type="dxa"/>
            <w:bottom w:w="0" w:type="dxa"/>
          </w:tblCellMar>
        </w:tblPrEx>
        <w:trPr>
          <w:cantSplit/>
          <w:trHeight w:val="560"/>
        </w:trPr>
        <w:tc>
          <w:tcPr>
            <w:tcW w:w="700" w:type="dxa"/>
            <w:tcMar>
              <w:top w:w="0" w:type="dxa"/>
              <w:bottom w:w="0" w:type="dxa"/>
            </w:tcMar>
            <w:vAlign w:val="center"/>
          </w:tcPr>
          <w:p w14:paraId="74926CF8" w14:textId="77777777" w:rsidR="002660AA" w:rsidRDefault="009B260F">
            <w:pPr>
              <w:keepNext/>
              <w:keepLines/>
              <w:spacing w:after="0" w:line="240" w:lineRule="auto"/>
            </w:pPr>
            <w:r>
              <w:rPr>
                <w:sz w:val="18"/>
              </w:rPr>
              <w:t>4225</w:t>
            </w:r>
          </w:p>
        </w:tc>
        <w:tc>
          <w:tcPr>
            <w:tcW w:w="3180" w:type="dxa"/>
            <w:tcMar>
              <w:top w:w="0" w:type="dxa"/>
              <w:bottom w:w="0" w:type="dxa"/>
            </w:tcMar>
            <w:vAlign w:val="center"/>
          </w:tcPr>
          <w:p w14:paraId="306B5E6E" w14:textId="77777777" w:rsidR="002660AA" w:rsidRDefault="009B260F">
            <w:pPr>
              <w:keepNext/>
              <w:keepLines/>
              <w:spacing w:after="0" w:line="240" w:lineRule="auto"/>
            </w:pPr>
            <w:r>
              <w:rPr>
                <w:sz w:val="18"/>
              </w:rPr>
              <w:t>Instrumenti i uređaji</w:t>
            </w:r>
          </w:p>
        </w:tc>
        <w:tc>
          <w:tcPr>
            <w:tcW w:w="700" w:type="dxa"/>
            <w:tcMar>
              <w:top w:w="0" w:type="dxa"/>
              <w:bottom w:w="0" w:type="dxa"/>
            </w:tcMar>
            <w:vAlign w:val="center"/>
          </w:tcPr>
          <w:p w14:paraId="22127103" w14:textId="77777777" w:rsidR="002660AA" w:rsidRDefault="009B260F">
            <w:pPr>
              <w:keepNext/>
              <w:keepLines/>
              <w:spacing w:after="0" w:line="240" w:lineRule="auto"/>
            </w:pPr>
            <w:r>
              <w:rPr>
                <w:sz w:val="18"/>
              </w:rPr>
              <w:t>4225</w:t>
            </w:r>
          </w:p>
        </w:tc>
        <w:tc>
          <w:tcPr>
            <w:tcW w:w="1860" w:type="dxa"/>
            <w:tcMar>
              <w:top w:w="0" w:type="dxa"/>
              <w:bottom w:w="0" w:type="dxa"/>
            </w:tcMar>
            <w:vAlign w:val="center"/>
          </w:tcPr>
          <w:p w14:paraId="38864BC5" w14:textId="77777777" w:rsidR="002660AA" w:rsidRDefault="009B260F">
            <w:pPr>
              <w:keepNext/>
              <w:keepLines/>
              <w:spacing w:after="0" w:line="240" w:lineRule="auto"/>
              <w:jc w:val="right"/>
            </w:pPr>
            <w:r>
              <w:rPr>
                <w:sz w:val="18"/>
              </w:rPr>
              <w:t>30.940,45</w:t>
            </w:r>
          </w:p>
        </w:tc>
        <w:tc>
          <w:tcPr>
            <w:tcW w:w="1860" w:type="dxa"/>
            <w:tcMar>
              <w:top w:w="0" w:type="dxa"/>
              <w:bottom w:w="0" w:type="dxa"/>
            </w:tcMar>
            <w:vAlign w:val="center"/>
          </w:tcPr>
          <w:p w14:paraId="13158994"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3C4BB168" w14:textId="77777777" w:rsidR="002660AA" w:rsidRDefault="009B260F">
            <w:pPr>
              <w:keepNext/>
              <w:keepLines/>
              <w:spacing w:after="0" w:line="240" w:lineRule="auto"/>
              <w:jc w:val="right"/>
            </w:pPr>
            <w:r>
              <w:rPr>
                <w:sz w:val="18"/>
              </w:rPr>
              <w:t>0</w:t>
            </w:r>
          </w:p>
        </w:tc>
      </w:tr>
    </w:tbl>
    <w:p w14:paraId="74337B42" w14:textId="77777777" w:rsidR="002660AA" w:rsidRDefault="002660AA">
      <w:pPr>
        <w:spacing w:after="0"/>
      </w:pPr>
    </w:p>
    <w:p w14:paraId="760C9905" w14:textId="77777777" w:rsidR="002660AA" w:rsidRDefault="009B260F">
      <w:r>
        <w:t>Tijekom 2025. godine nije bilo realizacije, dok se tijekom 2024. godine nabavila opreme u sklopu projekta „Nabava opreme i rasadnog materijala za uzgoj sadnica u rasadničkoj proizvodnji“ kojim upravlja GKP Komunalac.</w:t>
      </w:r>
    </w:p>
    <w:p w14:paraId="5C57535E" w14:textId="77777777" w:rsidR="002660AA" w:rsidRDefault="002660AA"/>
    <w:p w14:paraId="1D263569" w14:textId="77777777" w:rsidR="002660AA" w:rsidRDefault="009B260F">
      <w:pPr>
        <w:keepNext/>
        <w:spacing w:line="240" w:lineRule="auto"/>
        <w:jc w:val="center"/>
      </w:pPr>
      <w:r>
        <w:rPr>
          <w:sz w:val="28"/>
        </w:rPr>
        <w:t>Bilješka 88.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D8461F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DDBC51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324522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36F88D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8E26E0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1A5253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79295AA" w14:textId="77777777" w:rsidR="002660AA" w:rsidRDefault="009B260F">
            <w:pPr>
              <w:keepNext/>
              <w:keepLines/>
              <w:spacing w:after="0" w:line="240" w:lineRule="auto"/>
              <w:jc w:val="center"/>
            </w:pPr>
            <w:r>
              <w:rPr>
                <w:b/>
                <w:sz w:val="18"/>
              </w:rPr>
              <w:t>Indeks (%)</w:t>
            </w:r>
          </w:p>
        </w:tc>
      </w:tr>
      <w:tr w:rsidR="002660AA" w14:paraId="30709ABD" w14:textId="77777777">
        <w:tblPrEx>
          <w:tblCellMar>
            <w:top w:w="0" w:type="dxa"/>
            <w:bottom w:w="0" w:type="dxa"/>
          </w:tblCellMar>
        </w:tblPrEx>
        <w:trPr>
          <w:cantSplit/>
          <w:trHeight w:val="560"/>
        </w:trPr>
        <w:tc>
          <w:tcPr>
            <w:tcW w:w="700" w:type="dxa"/>
            <w:tcMar>
              <w:top w:w="0" w:type="dxa"/>
              <w:bottom w:w="0" w:type="dxa"/>
            </w:tcMar>
            <w:vAlign w:val="center"/>
          </w:tcPr>
          <w:p w14:paraId="2AAE2EEC" w14:textId="77777777" w:rsidR="002660AA" w:rsidRDefault="009B260F">
            <w:pPr>
              <w:keepNext/>
              <w:keepLines/>
              <w:spacing w:after="0" w:line="240" w:lineRule="auto"/>
            </w:pPr>
            <w:r>
              <w:rPr>
                <w:sz w:val="18"/>
              </w:rPr>
              <w:t>4226</w:t>
            </w:r>
          </w:p>
        </w:tc>
        <w:tc>
          <w:tcPr>
            <w:tcW w:w="3180" w:type="dxa"/>
            <w:tcMar>
              <w:top w:w="0" w:type="dxa"/>
              <w:bottom w:w="0" w:type="dxa"/>
            </w:tcMar>
            <w:vAlign w:val="center"/>
          </w:tcPr>
          <w:p w14:paraId="774ADB70" w14:textId="77777777" w:rsidR="002660AA" w:rsidRDefault="009B260F">
            <w:pPr>
              <w:keepNext/>
              <w:keepLines/>
              <w:spacing w:after="0" w:line="240" w:lineRule="auto"/>
            </w:pPr>
            <w:r>
              <w:rPr>
                <w:sz w:val="18"/>
              </w:rPr>
              <w:t>Sportska i glazbena oprema</w:t>
            </w:r>
          </w:p>
        </w:tc>
        <w:tc>
          <w:tcPr>
            <w:tcW w:w="700" w:type="dxa"/>
            <w:tcMar>
              <w:top w:w="0" w:type="dxa"/>
              <w:bottom w:w="0" w:type="dxa"/>
            </w:tcMar>
            <w:vAlign w:val="center"/>
          </w:tcPr>
          <w:p w14:paraId="0DD15160" w14:textId="77777777" w:rsidR="002660AA" w:rsidRDefault="009B260F">
            <w:pPr>
              <w:keepNext/>
              <w:keepLines/>
              <w:spacing w:after="0" w:line="240" w:lineRule="auto"/>
            </w:pPr>
            <w:r>
              <w:rPr>
                <w:sz w:val="18"/>
              </w:rPr>
              <w:t>4226</w:t>
            </w:r>
          </w:p>
        </w:tc>
        <w:tc>
          <w:tcPr>
            <w:tcW w:w="1860" w:type="dxa"/>
            <w:tcMar>
              <w:top w:w="0" w:type="dxa"/>
              <w:bottom w:w="0" w:type="dxa"/>
            </w:tcMar>
            <w:vAlign w:val="center"/>
          </w:tcPr>
          <w:p w14:paraId="322B82C1" w14:textId="77777777" w:rsidR="002660AA" w:rsidRDefault="009B260F">
            <w:pPr>
              <w:keepNext/>
              <w:keepLines/>
              <w:spacing w:after="0" w:line="240" w:lineRule="auto"/>
              <w:jc w:val="right"/>
            </w:pPr>
            <w:r>
              <w:rPr>
                <w:sz w:val="18"/>
              </w:rPr>
              <w:t>1.562,50</w:t>
            </w:r>
          </w:p>
        </w:tc>
        <w:tc>
          <w:tcPr>
            <w:tcW w:w="1860" w:type="dxa"/>
            <w:tcMar>
              <w:top w:w="0" w:type="dxa"/>
              <w:bottom w:w="0" w:type="dxa"/>
            </w:tcMar>
            <w:vAlign w:val="center"/>
          </w:tcPr>
          <w:p w14:paraId="4A43E667"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29EAD16A" w14:textId="77777777" w:rsidR="002660AA" w:rsidRDefault="009B260F">
            <w:pPr>
              <w:keepNext/>
              <w:keepLines/>
              <w:spacing w:after="0" w:line="240" w:lineRule="auto"/>
              <w:jc w:val="right"/>
            </w:pPr>
            <w:r>
              <w:rPr>
                <w:sz w:val="18"/>
              </w:rPr>
              <w:t>0</w:t>
            </w:r>
          </w:p>
        </w:tc>
      </w:tr>
    </w:tbl>
    <w:p w14:paraId="6AED0638" w14:textId="77777777" w:rsidR="002660AA" w:rsidRDefault="002660AA">
      <w:pPr>
        <w:spacing w:after="0"/>
      </w:pPr>
    </w:p>
    <w:p w14:paraId="22149013" w14:textId="77777777" w:rsidR="002660AA" w:rsidRDefault="009B260F">
      <w:r>
        <w:t>Tijekom 2025. godine nije bilo realizacije, dok su se tijekom 2024. godine nabavili glazbeni instrumenti i oprema u sklopu projekta opremanja OŠ Podolice (CDŠ).</w:t>
      </w:r>
    </w:p>
    <w:p w14:paraId="09E7FAF4" w14:textId="77777777" w:rsidR="002660AA" w:rsidRDefault="002660AA"/>
    <w:p w14:paraId="23931226" w14:textId="77777777" w:rsidR="002660AA" w:rsidRDefault="009B260F">
      <w:pPr>
        <w:keepNext/>
        <w:spacing w:line="240" w:lineRule="auto"/>
        <w:jc w:val="center"/>
      </w:pPr>
      <w:r>
        <w:rPr>
          <w:sz w:val="28"/>
        </w:rPr>
        <w:t>Bilješka 89.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B9572F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C2BF56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D73243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5417F7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CC2D8A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9FD9CB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172C8FE" w14:textId="77777777" w:rsidR="002660AA" w:rsidRDefault="009B260F">
            <w:pPr>
              <w:keepNext/>
              <w:keepLines/>
              <w:spacing w:after="0" w:line="240" w:lineRule="auto"/>
              <w:jc w:val="center"/>
            </w:pPr>
            <w:r>
              <w:rPr>
                <w:b/>
                <w:sz w:val="18"/>
              </w:rPr>
              <w:t>Indeks (%)</w:t>
            </w:r>
          </w:p>
        </w:tc>
      </w:tr>
      <w:tr w:rsidR="002660AA" w14:paraId="701FA296" w14:textId="77777777">
        <w:tblPrEx>
          <w:tblCellMar>
            <w:top w:w="0" w:type="dxa"/>
            <w:bottom w:w="0" w:type="dxa"/>
          </w:tblCellMar>
        </w:tblPrEx>
        <w:trPr>
          <w:cantSplit/>
          <w:trHeight w:val="560"/>
        </w:trPr>
        <w:tc>
          <w:tcPr>
            <w:tcW w:w="700" w:type="dxa"/>
            <w:tcMar>
              <w:top w:w="0" w:type="dxa"/>
              <w:bottom w:w="0" w:type="dxa"/>
            </w:tcMar>
            <w:vAlign w:val="center"/>
          </w:tcPr>
          <w:p w14:paraId="2F676A02" w14:textId="77777777" w:rsidR="002660AA" w:rsidRDefault="009B260F">
            <w:pPr>
              <w:keepNext/>
              <w:keepLines/>
              <w:spacing w:after="0" w:line="240" w:lineRule="auto"/>
            </w:pPr>
            <w:r>
              <w:rPr>
                <w:sz w:val="18"/>
              </w:rPr>
              <w:t>4227</w:t>
            </w:r>
          </w:p>
        </w:tc>
        <w:tc>
          <w:tcPr>
            <w:tcW w:w="3180" w:type="dxa"/>
            <w:tcMar>
              <w:top w:w="0" w:type="dxa"/>
              <w:bottom w:w="0" w:type="dxa"/>
            </w:tcMar>
            <w:vAlign w:val="center"/>
          </w:tcPr>
          <w:p w14:paraId="2D5A9C47" w14:textId="77777777" w:rsidR="002660AA" w:rsidRDefault="009B260F">
            <w:pPr>
              <w:keepNext/>
              <w:keepLines/>
              <w:spacing w:after="0" w:line="240" w:lineRule="auto"/>
            </w:pPr>
            <w:r>
              <w:rPr>
                <w:sz w:val="18"/>
              </w:rPr>
              <w:t>Uređaji, strojevi i oprema za ostale namjene</w:t>
            </w:r>
          </w:p>
        </w:tc>
        <w:tc>
          <w:tcPr>
            <w:tcW w:w="700" w:type="dxa"/>
            <w:tcMar>
              <w:top w:w="0" w:type="dxa"/>
              <w:bottom w:w="0" w:type="dxa"/>
            </w:tcMar>
            <w:vAlign w:val="center"/>
          </w:tcPr>
          <w:p w14:paraId="082A2990" w14:textId="77777777" w:rsidR="002660AA" w:rsidRDefault="009B260F">
            <w:pPr>
              <w:keepNext/>
              <w:keepLines/>
              <w:spacing w:after="0" w:line="240" w:lineRule="auto"/>
            </w:pPr>
            <w:r>
              <w:rPr>
                <w:sz w:val="18"/>
              </w:rPr>
              <w:t>4227</w:t>
            </w:r>
          </w:p>
        </w:tc>
        <w:tc>
          <w:tcPr>
            <w:tcW w:w="1860" w:type="dxa"/>
            <w:tcMar>
              <w:top w:w="0" w:type="dxa"/>
              <w:bottom w:w="0" w:type="dxa"/>
            </w:tcMar>
            <w:vAlign w:val="center"/>
          </w:tcPr>
          <w:p w14:paraId="54891DA7" w14:textId="77777777" w:rsidR="002660AA" w:rsidRDefault="009B260F">
            <w:pPr>
              <w:keepNext/>
              <w:keepLines/>
              <w:spacing w:after="0" w:line="240" w:lineRule="auto"/>
              <w:jc w:val="right"/>
            </w:pPr>
            <w:r>
              <w:rPr>
                <w:sz w:val="18"/>
              </w:rPr>
              <w:t>277.301,26</w:t>
            </w:r>
          </w:p>
        </w:tc>
        <w:tc>
          <w:tcPr>
            <w:tcW w:w="1860" w:type="dxa"/>
            <w:tcMar>
              <w:top w:w="0" w:type="dxa"/>
              <w:bottom w:w="0" w:type="dxa"/>
            </w:tcMar>
            <w:vAlign w:val="center"/>
          </w:tcPr>
          <w:p w14:paraId="2B436D2E" w14:textId="77777777" w:rsidR="002660AA" w:rsidRDefault="009B260F">
            <w:pPr>
              <w:keepNext/>
              <w:keepLines/>
              <w:spacing w:after="0" w:line="240" w:lineRule="auto"/>
              <w:jc w:val="right"/>
            </w:pPr>
            <w:r>
              <w:rPr>
                <w:sz w:val="18"/>
              </w:rPr>
              <w:t>2.263.005,41</w:t>
            </w:r>
          </w:p>
        </w:tc>
        <w:tc>
          <w:tcPr>
            <w:tcW w:w="700" w:type="dxa"/>
            <w:tcMar>
              <w:top w:w="0" w:type="dxa"/>
              <w:bottom w:w="0" w:type="dxa"/>
            </w:tcMar>
            <w:vAlign w:val="center"/>
          </w:tcPr>
          <w:p w14:paraId="54C04B8F" w14:textId="77777777" w:rsidR="002660AA" w:rsidRDefault="009B260F">
            <w:pPr>
              <w:keepNext/>
              <w:keepLines/>
              <w:spacing w:after="0" w:line="240" w:lineRule="auto"/>
              <w:jc w:val="right"/>
            </w:pPr>
            <w:r>
              <w:rPr>
                <w:sz w:val="18"/>
              </w:rPr>
              <w:t>816,1</w:t>
            </w:r>
          </w:p>
        </w:tc>
      </w:tr>
    </w:tbl>
    <w:p w14:paraId="08AD3514" w14:textId="77777777" w:rsidR="002660AA" w:rsidRDefault="002660AA">
      <w:pPr>
        <w:spacing w:after="0"/>
      </w:pPr>
    </w:p>
    <w:p w14:paraId="77D9F8FC" w14:textId="77777777" w:rsidR="002660AA" w:rsidRDefault="009B260F">
      <w:r>
        <w:t>Uređaji, strojevi i oprema za ostale namjene bilježi veliki rast radi opremanja Sortirnice i knjižena opreme.</w:t>
      </w:r>
    </w:p>
    <w:p w14:paraId="0031C8A6" w14:textId="77777777" w:rsidR="002660AA" w:rsidRDefault="009B260F">
      <w:r>
        <w:t> </w:t>
      </w:r>
    </w:p>
    <w:p w14:paraId="10EB2767" w14:textId="77777777" w:rsidR="002660AA" w:rsidRDefault="002660AA"/>
    <w:p w14:paraId="28535C82" w14:textId="77777777" w:rsidR="002660AA" w:rsidRDefault="009B260F">
      <w:pPr>
        <w:keepNext/>
        <w:spacing w:line="240" w:lineRule="auto"/>
        <w:jc w:val="center"/>
      </w:pPr>
      <w:r>
        <w:rPr>
          <w:sz w:val="28"/>
        </w:rPr>
        <w:t>Bilješka 90.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D24729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110B10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8639E9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0C7491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84CC3F7"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40699D1"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C47E4E1" w14:textId="77777777" w:rsidR="002660AA" w:rsidRDefault="009B260F">
            <w:pPr>
              <w:keepNext/>
              <w:keepLines/>
              <w:spacing w:after="0" w:line="240" w:lineRule="auto"/>
              <w:jc w:val="center"/>
            </w:pPr>
            <w:r>
              <w:rPr>
                <w:b/>
                <w:sz w:val="18"/>
              </w:rPr>
              <w:t>Indeks (%)</w:t>
            </w:r>
          </w:p>
        </w:tc>
      </w:tr>
      <w:tr w:rsidR="002660AA" w14:paraId="4BECB72B" w14:textId="77777777">
        <w:tblPrEx>
          <w:tblCellMar>
            <w:top w:w="0" w:type="dxa"/>
            <w:bottom w:w="0" w:type="dxa"/>
          </w:tblCellMar>
        </w:tblPrEx>
        <w:trPr>
          <w:cantSplit/>
          <w:trHeight w:val="560"/>
        </w:trPr>
        <w:tc>
          <w:tcPr>
            <w:tcW w:w="700" w:type="dxa"/>
            <w:tcMar>
              <w:top w:w="0" w:type="dxa"/>
              <w:bottom w:w="0" w:type="dxa"/>
            </w:tcMar>
            <w:vAlign w:val="center"/>
          </w:tcPr>
          <w:p w14:paraId="6A4DD9EF" w14:textId="77777777" w:rsidR="002660AA" w:rsidRDefault="009B260F">
            <w:pPr>
              <w:keepNext/>
              <w:keepLines/>
              <w:spacing w:after="0" w:line="240" w:lineRule="auto"/>
            </w:pPr>
            <w:r>
              <w:rPr>
                <w:sz w:val="18"/>
              </w:rPr>
              <w:t>4231</w:t>
            </w:r>
          </w:p>
        </w:tc>
        <w:tc>
          <w:tcPr>
            <w:tcW w:w="3180" w:type="dxa"/>
            <w:tcMar>
              <w:top w:w="0" w:type="dxa"/>
              <w:bottom w:w="0" w:type="dxa"/>
            </w:tcMar>
            <w:vAlign w:val="center"/>
          </w:tcPr>
          <w:p w14:paraId="47AE8B0D" w14:textId="77777777" w:rsidR="002660AA" w:rsidRDefault="009B260F">
            <w:pPr>
              <w:keepNext/>
              <w:keepLines/>
              <w:spacing w:after="0" w:line="240" w:lineRule="auto"/>
            </w:pPr>
            <w:r>
              <w:rPr>
                <w:sz w:val="18"/>
              </w:rPr>
              <w:t>Prijevozna sredstva u cestovnom prometu</w:t>
            </w:r>
          </w:p>
        </w:tc>
        <w:tc>
          <w:tcPr>
            <w:tcW w:w="700" w:type="dxa"/>
            <w:tcMar>
              <w:top w:w="0" w:type="dxa"/>
              <w:bottom w:w="0" w:type="dxa"/>
            </w:tcMar>
            <w:vAlign w:val="center"/>
          </w:tcPr>
          <w:p w14:paraId="0E195AC7" w14:textId="77777777" w:rsidR="002660AA" w:rsidRDefault="009B260F">
            <w:pPr>
              <w:keepNext/>
              <w:keepLines/>
              <w:spacing w:after="0" w:line="240" w:lineRule="auto"/>
            </w:pPr>
            <w:r>
              <w:rPr>
                <w:sz w:val="18"/>
              </w:rPr>
              <w:t>4231</w:t>
            </w:r>
          </w:p>
        </w:tc>
        <w:tc>
          <w:tcPr>
            <w:tcW w:w="1860" w:type="dxa"/>
            <w:tcMar>
              <w:top w:w="0" w:type="dxa"/>
              <w:bottom w:w="0" w:type="dxa"/>
            </w:tcMar>
            <w:vAlign w:val="center"/>
          </w:tcPr>
          <w:p w14:paraId="7DBC2ABA"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36C028BE" w14:textId="77777777" w:rsidR="002660AA" w:rsidRDefault="009B260F">
            <w:pPr>
              <w:keepNext/>
              <w:keepLines/>
              <w:spacing w:after="0" w:line="240" w:lineRule="auto"/>
              <w:jc w:val="right"/>
            </w:pPr>
            <w:r>
              <w:rPr>
                <w:sz w:val="18"/>
              </w:rPr>
              <w:t>19.108,06</w:t>
            </w:r>
          </w:p>
        </w:tc>
        <w:tc>
          <w:tcPr>
            <w:tcW w:w="700" w:type="dxa"/>
            <w:tcMar>
              <w:top w:w="0" w:type="dxa"/>
              <w:bottom w:w="0" w:type="dxa"/>
            </w:tcMar>
            <w:vAlign w:val="center"/>
          </w:tcPr>
          <w:p w14:paraId="04E7CE94" w14:textId="77777777" w:rsidR="002660AA" w:rsidRDefault="009B260F">
            <w:pPr>
              <w:keepNext/>
              <w:keepLines/>
              <w:spacing w:after="0" w:line="240" w:lineRule="auto"/>
              <w:jc w:val="right"/>
            </w:pPr>
            <w:r>
              <w:rPr>
                <w:sz w:val="18"/>
              </w:rPr>
              <w:t>-</w:t>
            </w:r>
          </w:p>
        </w:tc>
      </w:tr>
    </w:tbl>
    <w:p w14:paraId="533BB753" w14:textId="77777777" w:rsidR="002660AA" w:rsidRDefault="002660AA">
      <w:pPr>
        <w:spacing w:after="0"/>
      </w:pPr>
    </w:p>
    <w:p w14:paraId="34F4C8AA" w14:textId="77777777" w:rsidR="002660AA" w:rsidRDefault="009B260F">
      <w:r>
        <w:t>Grad je tijekom 2025. godine evidentirao nabavu osobnog auta (ošasna imovina).</w:t>
      </w:r>
    </w:p>
    <w:p w14:paraId="2DC2EF9C" w14:textId="77777777" w:rsidR="002660AA" w:rsidRDefault="002660AA"/>
    <w:p w14:paraId="2A6F02F3" w14:textId="77777777" w:rsidR="002660AA" w:rsidRDefault="009B260F">
      <w:pPr>
        <w:keepNext/>
        <w:spacing w:line="240" w:lineRule="auto"/>
        <w:jc w:val="center"/>
      </w:pPr>
      <w:r>
        <w:rPr>
          <w:sz w:val="28"/>
        </w:rPr>
        <w:t>Bilješka 91.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F1577F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FD0DE7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AF48D2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2D7AA9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6B76C9F"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5CED17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A46F443" w14:textId="77777777" w:rsidR="002660AA" w:rsidRDefault="009B260F">
            <w:pPr>
              <w:keepNext/>
              <w:keepLines/>
              <w:spacing w:after="0" w:line="240" w:lineRule="auto"/>
              <w:jc w:val="center"/>
            </w:pPr>
            <w:r>
              <w:rPr>
                <w:b/>
                <w:sz w:val="18"/>
              </w:rPr>
              <w:t>Indeks (%)</w:t>
            </w:r>
          </w:p>
        </w:tc>
      </w:tr>
      <w:tr w:rsidR="002660AA" w14:paraId="263A5140" w14:textId="77777777">
        <w:tblPrEx>
          <w:tblCellMar>
            <w:top w:w="0" w:type="dxa"/>
            <w:bottom w:w="0" w:type="dxa"/>
          </w:tblCellMar>
        </w:tblPrEx>
        <w:trPr>
          <w:cantSplit/>
          <w:trHeight w:val="560"/>
        </w:trPr>
        <w:tc>
          <w:tcPr>
            <w:tcW w:w="700" w:type="dxa"/>
            <w:tcMar>
              <w:top w:w="0" w:type="dxa"/>
              <w:bottom w:w="0" w:type="dxa"/>
            </w:tcMar>
            <w:vAlign w:val="center"/>
          </w:tcPr>
          <w:p w14:paraId="75A93A50" w14:textId="77777777" w:rsidR="002660AA" w:rsidRDefault="009B260F">
            <w:pPr>
              <w:keepNext/>
              <w:keepLines/>
              <w:spacing w:after="0" w:line="240" w:lineRule="auto"/>
            </w:pPr>
            <w:r>
              <w:rPr>
                <w:sz w:val="18"/>
              </w:rPr>
              <w:t>424</w:t>
            </w:r>
          </w:p>
        </w:tc>
        <w:tc>
          <w:tcPr>
            <w:tcW w:w="3180" w:type="dxa"/>
            <w:tcMar>
              <w:top w:w="0" w:type="dxa"/>
              <w:bottom w:w="0" w:type="dxa"/>
            </w:tcMar>
            <w:vAlign w:val="center"/>
          </w:tcPr>
          <w:p w14:paraId="782F16C1" w14:textId="77777777" w:rsidR="002660AA" w:rsidRDefault="009B260F">
            <w:pPr>
              <w:keepNext/>
              <w:keepLines/>
              <w:spacing w:after="0" w:line="240" w:lineRule="auto"/>
            </w:pPr>
            <w:r>
              <w:rPr>
                <w:sz w:val="18"/>
              </w:rPr>
              <w:t>Knjige, umjetnička djela i ostale izložbene vrijednosti (šifre 4241 do 4244)</w:t>
            </w:r>
          </w:p>
        </w:tc>
        <w:tc>
          <w:tcPr>
            <w:tcW w:w="700" w:type="dxa"/>
            <w:tcMar>
              <w:top w:w="0" w:type="dxa"/>
              <w:bottom w:w="0" w:type="dxa"/>
            </w:tcMar>
            <w:vAlign w:val="center"/>
          </w:tcPr>
          <w:p w14:paraId="4188E884" w14:textId="77777777" w:rsidR="002660AA" w:rsidRDefault="009B260F">
            <w:pPr>
              <w:keepNext/>
              <w:keepLines/>
              <w:spacing w:after="0" w:line="240" w:lineRule="auto"/>
            </w:pPr>
            <w:r>
              <w:rPr>
                <w:sz w:val="18"/>
              </w:rPr>
              <w:t>424</w:t>
            </w:r>
          </w:p>
        </w:tc>
        <w:tc>
          <w:tcPr>
            <w:tcW w:w="1860" w:type="dxa"/>
            <w:tcMar>
              <w:top w:w="0" w:type="dxa"/>
              <w:bottom w:w="0" w:type="dxa"/>
            </w:tcMar>
            <w:vAlign w:val="center"/>
          </w:tcPr>
          <w:p w14:paraId="3C4CFA47" w14:textId="77777777" w:rsidR="002660AA" w:rsidRDefault="009B260F">
            <w:pPr>
              <w:keepNext/>
              <w:keepLines/>
              <w:spacing w:after="0" w:line="240" w:lineRule="auto"/>
              <w:jc w:val="right"/>
            </w:pPr>
            <w:r>
              <w:rPr>
                <w:sz w:val="18"/>
              </w:rPr>
              <w:t>900,00</w:t>
            </w:r>
          </w:p>
        </w:tc>
        <w:tc>
          <w:tcPr>
            <w:tcW w:w="1860" w:type="dxa"/>
            <w:tcMar>
              <w:top w:w="0" w:type="dxa"/>
              <w:bottom w:w="0" w:type="dxa"/>
            </w:tcMar>
            <w:vAlign w:val="center"/>
          </w:tcPr>
          <w:p w14:paraId="702A45F7" w14:textId="77777777" w:rsidR="002660AA" w:rsidRDefault="009B260F">
            <w:pPr>
              <w:keepNext/>
              <w:keepLines/>
              <w:spacing w:after="0" w:line="240" w:lineRule="auto"/>
              <w:jc w:val="right"/>
            </w:pPr>
            <w:r>
              <w:rPr>
                <w:sz w:val="18"/>
              </w:rPr>
              <w:t>1.800,00</w:t>
            </w:r>
          </w:p>
        </w:tc>
        <w:tc>
          <w:tcPr>
            <w:tcW w:w="700" w:type="dxa"/>
            <w:tcMar>
              <w:top w:w="0" w:type="dxa"/>
              <w:bottom w:w="0" w:type="dxa"/>
            </w:tcMar>
            <w:vAlign w:val="center"/>
          </w:tcPr>
          <w:p w14:paraId="20CAFC35" w14:textId="77777777" w:rsidR="002660AA" w:rsidRDefault="009B260F">
            <w:pPr>
              <w:keepNext/>
              <w:keepLines/>
              <w:spacing w:after="0" w:line="240" w:lineRule="auto"/>
              <w:jc w:val="right"/>
            </w:pPr>
            <w:r>
              <w:rPr>
                <w:sz w:val="18"/>
              </w:rPr>
              <w:t>200</w:t>
            </w:r>
          </w:p>
        </w:tc>
      </w:tr>
    </w:tbl>
    <w:p w14:paraId="264BCF7B" w14:textId="77777777" w:rsidR="002660AA" w:rsidRDefault="002660AA">
      <w:pPr>
        <w:spacing w:after="0"/>
      </w:pPr>
    </w:p>
    <w:p w14:paraId="4563633F" w14:textId="77777777" w:rsidR="002660AA" w:rsidRDefault="009B260F">
      <w:r>
        <w:t>Grad je tijekom 2025. godine nabavio dvije umjetničke slike u humanitarne svrhe.</w:t>
      </w:r>
    </w:p>
    <w:p w14:paraId="10E33F42" w14:textId="77777777" w:rsidR="002660AA" w:rsidRDefault="002660AA"/>
    <w:p w14:paraId="78FE7282" w14:textId="77777777" w:rsidR="002660AA" w:rsidRDefault="009B260F">
      <w:pPr>
        <w:keepNext/>
        <w:spacing w:line="240" w:lineRule="auto"/>
        <w:jc w:val="center"/>
      </w:pPr>
      <w:r>
        <w:rPr>
          <w:sz w:val="28"/>
        </w:rPr>
        <w:t>Bilješka 92.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B91C35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47BD38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D6E7D8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2D30A6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541C649"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7760CE5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7D7C447" w14:textId="77777777" w:rsidR="002660AA" w:rsidRDefault="009B260F">
            <w:pPr>
              <w:keepNext/>
              <w:keepLines/>
              <w:spacing w:after="0" w:line="240" w:lineRule="auto"/>
              <w:jc w:val="center"/>
            </w:pPr>
            <w:r>
              <w:rPr>
                <w:b/>
                <w:sz w:val="18"/>
              </w:rPr>
              <w:t>Indeks (%)</w:t>
            </w:r>
          </w:p>
        </w:tc>
      </w:tr>
      <w:tr w:rsidR="002660AA" w14:paraId="3EC915EB" w14:textId="77777777">
        <w:tblPrEx>
          <w:tblCellMar>
            <w:top w:w="0" w:type="dxa"/>
            <w:bottom w:w="0" w:type="dxa"/>
          </w:tblCellMar>
        </w:tblPrEx>
        <w:trPr>
          <w:cantSplit/>
          <w:trHeight w:val="560"/>
        </w:trPr>
        <w:tc>
          <w:tcPr>
            <w:tcW w:w="700" w:type="dxa"/>
            <w:tcMar>
              <w:top w:w="0" w:type="dxa"/>
              <w:bottom w:w="0" w:type="dxa"/>
            </w:tcMar>
            <w:vAlign w:val="center"/>
          </w:tcPr>
          <w:p w14:paraId="71FEC700" w14:textId="77777777" w:rsidR="002660AA" w:rsidRDefault="009B260F">
            <w:pPr>
              <w:keepNext/>
              <w:keepLines/>
              <w:spacing w:after="0" w:line="240" w:lineRule="auto"/>
            </w:pPr>
            <w:r>
              <w:rPr>
                <w:sz w:val="18"/>
              </w:rPr>
              <w:t>4242</w:t>
            </w:r>
          </w:p>
        </w:tc>
        <w:tc>
          <w:tcPr>
            <w:tcW w:w="3180" w:type="dxa"/>
            <w:tcMar>
              <w:top w:w="0" w:type="dxa"/>
              <w:bottom w:w="0" w:type="dxa"/>
            </w:tcMar>
            <w:vAlign w:val="center"/>
          </w:tcPr>
          <w:p w14:paraId="56253D44" w14:textId="77777777" w:rsidR="002660AA" w:rsidRDefault="009B260F">
            <w:pPr>
              <w:keepNext/>
              <w:keepLines/>
              <w:spacing w:after="0" w:line="240" w:lineRule="auto"/>
            </w:pPr>
            <w:r>
              <w:rPr>
                <w:sz w:val="18"/>
              </w:rPr>
              <w:t>Umjetnička djela (izložena u galerijama, muzejima i slično)</w:t>
            </w:r>
          </w:p>
        </w:tc>
        <w:tc>
          <w:tcPr>
            <w:tcW w:w="700" w:type="dxa"/>
            <w:tcMar>
              <w:top w:w="0" w:type="dxa"/>
              <w:bottom w:w="0" w:type="dxa"/>
            </w:tcMar>
            <w:vAlign w:val="center"/>
          </w:tcPr>
          <w:p w14:paraId="6DAC33B1" w14:textId="77777777" w:rsidR="002660AA" w:rsidRDefault="009B260F">
            <w:pPr>
              <w:keepNext/>
              <w:keepLines/>
              <w:spacing w:after="0" w:line="240" w:lineRule="auto"/>
            </w:pPr>
            <w:r>
              <w:rPr>
                <w:sz w:val="18"/>
              </w:rPr>
              <w:t>4242</w:t>
            </w:r>
          </w:p>
        </w:tc>
        <w:tc>
          <w:tcPr>
            <w:tcW w:w="1860" w:type="dxa"/>
            <w:tcMar>
              <w:top w:w="0" w:type="dxa"/>
              <w:bottom w:w="0" w:type="dxa"/>
            </w:tcMar>
            <w:vAlign w:val="center"/>
          </w:tcPr>
          <w:p w14:paraId="0247ECEA" w14:textId="77777777" w:rsidR="002660AA" w:rsidRDefault="009B260F">
            <w:pPr>
              <w:keepNext/>
              <w:keepLines/>
              <w:spacing w:after="0" w:line="240" w:lineRule="auto"/>
              <w:jc w:val="right"/>
            </w:pPr>
            <w:r>
              <w:rPr>
                <w:sz w:val="18"/>
              </w:rPr>
              <w:t>900,00</w:t>
            </w:r>
          </w:p>
        </w:tc>
        <w:tc>
          <w:tcPr>
            <w:tcW w:w="1860" w:type="dxa"/>
            <w:tcMar>
              <w:top w:w="0" w:type="dxa"/>
              <w:bottom w:w="0" w:type="dxa"/>
            </w:tcMar>
            <w:vAlign w:val="center"/>
          </w:tcPr>
          <w:p w14:paraId="1C5877CB" w14:textId="77777777" w:rsidR="002660AA" w:rsidRDefault="009B260F">
            <w:pPr>
              <w:keepNext/>
              <w:keepLines/>
              <w:spacing w:after="0" w:line="240" w:lineRule="auto"/>
              <w:jc w:val="right"/>
            </w:pPr>
            <w:r>
              <w:rPr>
                <w:sz w:val="18"/>
              </w:rPr>
              <w:t>1.800,00</w:t>
            </w:r>
          </w:p>
        </w:tc>
        <w:tc>
          <w:tcPr>
            <w:tcW w:w="700" w:type="dxa"/>
            <w:tcMar>
              <w:top w:w="0" w:type="dxa"/>
              <w:bottom w:w="0" w:type="dxa"/>
            </w:tcMar>
            <w:vAlign w:val="center"/>
          </w:tcPr>
          <w:p w14:paraId="08F875BA" w14:textId="77777777" w:rsidR="002660AA" w:rsidRDefault="009B260F">
            <w:pPr>
              <w:keepNext/>
              <w:keepLines/>
              <w:spacing w:after="0" w:line="240" w:lineRule="auto"/>
              <w:jc w:val="right"/>
            </w:pPr>
            <w:r>
              <w:rPr>
                <w:sz w:val="18"/>
              </w:rPr>
              <w:t>200</w:t>
            </w:r>
          </w:p>
        </w:tc>
      </w:tr>
    </w:tbl>
    <w:p w14:paraId="435ABECC" w14:textId="77777777" w:rsidR="002660AA" w:rsidRDefault="002660AA">
      <w:pPr>
        <w:spacing w:after="0"/>
      </w:pPr>
    </w:p>
    <w:p w14:paraId="0B567D91" w14:textId="77777777" w:rsidR="002660AA" w:rsidRDefault="009B260F">
      <w:r>
        <w:t>Grad je tijekom 2025. godine nabavio dvije umjetničke slike u humanitarne svrhe.</w:t>
      </w:r>
    </w:p>
    <w:p w14:paraId="101BD4E8" w14:textId="77777777" w:rsidR="002660AA" w:rsidRDefault="002660AA"/>
    <w:p w14:paraId="16C388B9" w14:textId="77777777" w:rsidR="002660AA" w:rsidRDefault="009B260F">
      <w:pPr>
        <w:keepNext/>
        <w:spacing w:line="240" w:lineRule="auto"/>
        <w:jc w:val="center"/>
      </w:pPr>
      <w:r>
        <w:rPr>
          <w:sz w:val="28"/>
        </w:rPr>
        <w:t>Bilješka 93.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7C20E0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660DCC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D02814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426697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0A8F0E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C2F366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A4798E9" w14:textId="77777777" w:rsidR="002660AA" w:rsidRDefault="009B260F">
            <w:pPr>
              <w:keepNext/>
              <w:keepLines/>
              <w:spacing w:after="0" w:line="240" w:lineRule="auto"/>
              <w:jc w:val="center"/>
            </w:pPr>
            <w:r>
              <w:rPr>
                <w:b/>
                <w:sz w:val="18"/>
              </w:rPr>
              <w:t>Indeks (%)</w:t>
            </w:r>
          </w:p>
        </w:tc>
      </w:tr>
      <w:tr w:rsidR="002660AA" w14:paraId="06B0D7FE" w14:textId="77777777">
        <w:tblPrEx>
          <w:tblCellMar>
            <w:top w:w="0" w:type="dxa"/>
            <w:bottom w:w="0" w:type="dxa"/>
          </w:tblCellMar>
        </w:tblPrEx>
        <w:trPr>
          <w:cantSplit/>
          <w:trHeight w:val="560"/>
        </w:trPr>
        <w:tc>
          <w:tcPr>
            <w:tcW w:w="700" w:type="dxa"/>
            <w:tcMar>
              <w:top w:w="0" w:type="dxa"/>
              <w:bottom w:w="0" w:type="dxa"/>
            </w:tcMar>
            <w:vAlign w:val="center"/>
          </w:tcPr>
          <w:p w14:paraId="2AA09475" w14:textId="77777777" w:rsidR="002660AA" w:rsidRDefault="009B260F">
            <w:pPr>
              <w:keepNext/>
              <w:keepLines/>
              <w:spacing w:after="0" w:line="240" w:lineRule="auto"/>
            </w:pPr>
            <w:r>
              <w:rPr>
                <w:sz w:val="18"/>
              </w:rPr>
              <w:t>4262</w:t>
            </w:r>
          </w:p>
        </w:tc>
        <w:tc>
          <w:tcPr>
            <w:tcW w:w="3180" w:type="dxa"/>
            <w:tcMar>
              <w:top w:w="0" w:type="dxa"/>
              <w:bottom w:w="0" w:type="dxa"/>
            </w:tcMar>
            <w:vAlign w:val="center"/>
          </w:tcPr>
          <w:p w14:paraId="6D6C20A5" w14:textId="77777777" w:rsidR="002660AA" w:rsidRDefault="009B260F">
            <w:pPr>
              <w:keepNext/>
              <w:keepLines/>
              <w:spacing w:after="0" w:line="240" w:lineRule="auto"/>
            </w:pPr>
            <w:r>
              <w:rPr>
                <w:sz w:val="18"/>
              </w:rPr>
              <w:t>Ulaganja u računalne programe</w:t>
            </w:r>
          </w:p>
        </w:tc>
        <w:tc>
          <w:tcPr>
            <w:tcW w:w="700" w:type="dxa"/>
            <w:tcMar>
              <w:top w:w="0" w:type="dxa"/>
              <w:bottom w:w="0" w:type="dxa"/>
            </w:tcMar>
            <w:vAlign w:val="center"/>
          </w:tcPr>
          <w:p w14:paraId="682D5978" w14:textId="77777777" w:rsidR="002660AA" w:rsidRDefault="009B260F">
            <w:pPr>
              <w:keepNext/>
              <w:keepLines/>
              <w:spacing w:after="0" w:line="240" w:lineRule="auto"/>
            </w:pPr>
            <w:r>
              <w:rPr>
                <w:sz w:val="18"/>
              </w:rPr>
              <w:t>4262</w:t>
            </w:r>
          </w:p>
        </w:tc>
        <w:tc>
          <w:tcPr>
            <w:tcW w:w="1860" w:type="dxa"/>
            <w:tcMar>
              <w:top w:w="0" w:type="dxa"/>
              <w:bottom w:w="0" w:type="dxa"/>
            </w:tcMar>
            <w:vAlign w:val="center"/>
          </w:tcPr>
          <w:p w14:paraId="2ECE306E" w14:textId="77777777" w:rsidR="002660AA" w:rsidRDefault="009B260F">
            <w:pPr>
              <w:keepNext/>
              <w:keepLines/>
              <w:spacing w:after="0" w:line="240" w:lineRule="auto"/>
              <w:jc w:val="right"/>
            </w:pPr>
            <w:r>
              <w:rPr>
                <w:sz w:val="18"/>
              </w:rPr>
              <w:t>12.879,17</w:t>
            </w:r>
          </w:p>
        </w:tc>
        <w:tc>
          <w:tcPr>
            <w:tcW w:w="1860" w:type="dxa"/>
            <w:tcMar>
              <w:top w:w="0" w:type="dxa"/>
              <w:bottom w:w="0" w:type="dxa"/>
            </w:tcMar>
            <w:vAlign w:val="center"/>
          </w:tcPr>
          <w:p w14:paraId="3724ABA7" w14:textId="77777777" w:rsidR="002660AA" w:rsidRDefault="009B260F">
            <w:pPr>
              <w:keepNext/>
              <w:keepLines/>
              <w:spacing w:after="0" w:line="240" w:lineRule="auto"/>
              <w:jc w:val="right"/>
            </w:pPr>
            <w:r>
              <w:rPr>
                <w:sz w:val="18"/>
              </w:rPr>
              <w:t>28.286,26</w:t>
            </w:r>
          </w:p>
        </w:tc>
        <w:tc>
          <w:tcPr>
            <w:tcW w:w="700" w:type="dxa"/>
            <w:tcMar>
              <w:top w:w="0" w:type="dxa"/>
              <w:bottom w:w="0" w:type="dxa"/>
            </w:tcMar>
            <w:vAlign w:val="center"/>
          </w:tcPr>
          <w:p w14:paraId="14D9E848" w14:textId="77777777" w:rsidR="002660AA" w:rsidRDefault="009B260F">
            <w:pPr>
              <w:keepNext/>
              <w:keepLines/>
              <w:spacing w:after="0" w:line="240" w:lineRule="auto"/>
              <w:jc w:val="right"/>
            </w:pPr>
            <w:r>
              <w:rPr>
                <w:sz w:val="18"/>
              </w:rPr>
              <w:t>219,6</w:t>
            </w:r>
          </w:p>
        </w:tc>
      </w:tr>
    </w:tbl>
    <w:p w14:paraId="495AE9D7" w14:textId="77777777" w:rsidR="002660AA" w:rsidRDefault="002660AA">
      <w:pPr>
        <w:spacing w:after="0"/>
      </w:pPr>
    </w:p>
    <w:p w14:paraId="3FC9AA48" w14:textId="77777777" w:rsidR="002660AA" w:rsidRDefault="009B260F">
      <w:r>
        <w:t>Tijekom 2025. godine izvršio se ugovor za izradu programskog rješenja za jednostavnu nabavu te se realizirao trošak uključivanja novog vrtića u riznicu grada.</w:t>
      </w:r>
    </w:p>
    <w:p w14:paraId="36966971" w14:textId="77777777" w:rsidR="002660AA" w:rsidRDefault="009B260F">
      <w:r>
        <w:t> </w:t>
      </w:r>
    </w:p>
    <w:p w14:paraId="4357F35C" w14:textId="77777777" w:rsidR="002660AA" w:rsidRDefault="002660AA"/>
    <w:p w14:paraId="201FEC10" w14:textId="77777777" w:rsidR="002660AA" w:rsidRDefault="009B260F">
      <w:pPr>
        <w:keepNext/>
        <w:spacing w:line="240" w:lineRule="auto"/>
        <w:jc w:val="center"/>
      </w:pPr>
      <w:r>
        <w:rPr>
          <w:sz w:val="28"/>
        </w:rPr>
        <w:t>Bilješka 94.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A17C8F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3AFDAE9"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C6DDFD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E31ABC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297B54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1114ED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00B3C5E" w14:textId="77777777" w:rsidR="002660AA" w:rsidRDefault="009B260F">
            <w:pPr>
              <w:keepNext/>
              <w:keepLines/>
              <w:spacing w:after="0" w:line="240" w:lineRule="auto"/>
              <w:jc w:val="center"/>
            </w:pPr>
            <w:r>
              <w:rPr>
                <w:b/>
                <w:sz w:val="18"/>
              </w:rPr>
              <w:t>Indeks (%)</w:t>
            </w:r>
          </w:p>
        </w:tc>
      </w:tr>
      <w:tr w:rsidR="002660AA" w14:paraId="6B3F3698" w14:textId="77777777">
        <w:tblPrEx>
          <w:tblCellMar>
            <w:top w:w="0" w:type="dxa"/>
            <w:bottom w:w="0" w:type="dxa"/>
          </w:tblCellMar>
        </w:tblPrEx>
        <w:trPr>
          <w:cantSplit/>
          <w:trHeight w:val="560"/>
        </w:trPr>
        <w:tc>
          <w:tcPr>
            <w:tcW w:w="700" w:type="dxa"/>
            <w:tcMar>
              <w:top w:w="0" w:type="dxa"/>
              <w:bottom w:w="0" w:type="dxa"/>
            </w:tcMar>
            <w:vAlign w:val="center"/>
          </w:tcPr>
          <w:p w14:paraId="6D84F435" w14:textId="77777777" w:rsidR="002660AA" w:rsidRDefault="009B260F">
            <w:pPr>
              <w:keepNext/>
              <w:keepLines/>
              <w:spacing w:after="0" w:line="240" w:lineRule="auto"/>
            </w:pPr>
            <w:r>
              <w:rPr>
                <w:sz w:val="18"/>
              </w:rPr>
              <w:t>4263</w:t>
            </w:r>
          </w:p>
        </w:tc>
        <w:tc>
          <w:tcPr>
            <w:tcW w:w="3180" w:type="dxa"/>
            <w:tcMar>
              <w:top w:w="0" w:type="dxa"/>
              <w:bottom w:w="0" w:type="dxa"/>
            </w:tcMar>
            <w:vAlign w:val="center"/>
          </w:tcPr>
          <w:p w14:paraId="20997E9B" w14:textId="77777777" w:rsidR="002660AA" w:rsidRDefault="009B260F">
            <w:pPr>
              <w:keepNext/>
              <w:keepLines/>
              <w:spacing w:after="0" w:line="240" w:lineRule="auto"/>
            </w:pPr>
            <w:r>
              <w:rPr>
                <w:sz w:val="18"/>
              </w:rPr>
              <w:t>Umjetnička, literarna i znanstvena djela</w:t>
            </w:r>
          </w:p>
        </w:tc>
        <w:tc>
          <w:tcPr>
            <w:tcW w:w="700" w:type="dxa"/>
            <w:tcMar>
              <w:top w:w="0" w:type="dxa"/>
              <w:bottom w:w="0" w:type="dxa"/>
            </w:tcMar>
            <w:vAlign w:val="center"/>
          </w:tcPr>
          <w:p w14:paraId="3B9AC2C5" w14:textId="77777777" w:rsidR="002660AA" w:rsidRDefault="009B260F">
            <w:pPr>
              <w:keepNext/>
              <w:keepLines/>
              <w:spacing w:after="0" w:line="240" w:lineRule="auto"/>
            </w:pPr>
            <w:r>
              <w:rPr>
                <w:sz w:val="18"/>
              </w:rPr>
              <w:t>4263</w:t>
            </w:r>
          </w:p>
        </w:tc>
        <w:tc>
          <w:tcPr>
            <w:tcW w:w="1860" w:type="dxa"/>
            <w:tcMar>
              <w:top w:w="0" w:type="dxa"/>
              <w:bottom w:w="0" w:type="dxa"/>
            </w:tcMar>
            <w:vAlign w:val="center"/>
          </w:tcPr>
          <w:p w14:paraId="3B2EDDD4" w14:textId="77777777" w:rsidR="002660AA" w:rsidRDefault="009B260F">
            <w:pPr>
              <w:keepNext/>
              <w:keepLines/>
              <w:spacing w:after="0" w:line="240" w:lineRule="auto"/>
              <w:jc w:val="right"/>
            </w:pPr>
            <w:r>
              <w:rPr>
                <w:sz w:val="18"/>
              </w:rPr>
              <w:t>31.367,38</w:t>
            </w:r>
          </w:p>
        </w:tc>
        <w:tc>
          <w:tcPr>
            <w:tcW w:w="1860" w:type="dxa"/>
            <w:tcMar>
              <w:top w:w="0" w:type="dxa"/>
              <w:bottom w:w="0" w:type="dxa"/>
            </w:tcMar>
            <w:vAlign w:val="center"/>
          </w:tcPr>
          <w:p w14:paraId="1000D4D3" w14:textId="77777777" w:rsidR="002660AA" w:rsidRDefault="009B260F">
            <w:pPr>
              <w:keepNext/>
              <w:keepLines/>
              <w:spacing w:after="0" w:line="240" w:lineRule="auto"/>
              <w:jc w:val="right"/>
            </w:pPr>
            <w:r>
              <w:rPr>
                <w:sz w:val="18"/>
              </w:rPr>
              <w:t>24.396,11</w:t>
            </w:r>
          </w:p>
        </w:tc>
        <w:tc>
          <w:tcPr>
            <w:tcW w:w="700" w:type="dxa"/>
            <w:tcMar>
              <w:top w:w="0" w:type="dxa"/>
              <w:bottom w:w="0" w:type="dxa"/>
            </w:tcMar>
            <w:vAlign w:val="center"/>
          </w:tcPr>
          <w:p w14:paraId="0AF16F15" w14:textId="77777777" w:rsidR="002660AA" w:rsidRDefault="009B260F">
            <w:pPr>
              <w:keepNext/>
              <w:keepLines/>
              <w:spacing w:after="0" w:line="240" w:lineRule="auto"/>
              <w:jc w:val="right"/>
            </w:pPr>
            <w:r>
              <w:rPr>
                <w:sz w:val="18"/>
              </w:rPr>
              <w:t>77,8</w:t>
            </w:r>
          </w:p>
        </w:tc>
      </w:tr>
    </w:tbl>
    <w:p w14:paraId="731E475F" w14:textId="77777777" w:rsidR="002660AA" w:rsidRDefault="002660AA">
      <w:pPr>
        <w:spacing w:after="0"/>
      </w:pPr>
    </w:p>
    <w:p w14:paraId="6BA505EA" w14:textId="77777777" w:rsidR="002660AA" w:rsidRDefault="009B260F">
      <w:r>
        <w:t>Trošak je realiziran u sklopu UO za prostorno uređenje, a odnosi se izradu ostalih prostornih planova, PPU i GUP sukladno realizaciji  pojedinih faza projekata iz ranijih godina.</w:t>
      </w:r>
    </w:p>
    <w:p w14:paraId="34E0CC55" w14:textId="77777777" w:rsidR="002660AA" w:rsidRDefault="009B260F">
      <w:r>
        <w:t> </w:t>
      </w:r>
    </w:p>
    <w:p w14:paraId="2F0BA921" w14:textId="77777777" w:rsidR="002660AA" w:rsidRDefault="002660AA"/>
    <w:p w14:paraId="6D641F11" w14:textId="77777777" w:rsidR="002660AA" w:rsidRDefault="009B260F">
      <w:pPr>
        <w:keepNext/>
        <w:spacing w:line="240" w:lineRule="auto"/>
        <w:jc w:val="center"/>
      </w:pPr>
      <w:r>
        <w:rPr>
          <w:sz w:val="28"/>
        </w:rPr>
        <w:t>Bilješka 95.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72286A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508C55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C875F5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0606F8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EA47F3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7B138A6"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4D6FFDD" w14:textId="77777777" w:rsidR="002660AA" w:rsidRDefault="009B260F">
            <w:pPr>
              <w:keepNext/>
              <w:keepLines/>
              <w:spacing w:after="0" w:line="240" w:lineRule="auto"/>
              <w:jc w:val="center"/>
            </w:pPr>
            <w:r>
              <w:rPr>
                <w:b/>
                <w:sz w:val="18"/>
              </w:rPr>
              <w:t>Indeks (%)</w:t>
            </w:r>
          </w:p>
        </w:tc>
      </w:tr>
      <w:tr w:rsidR="002660AA" w14:paraId="21EE5F07" w14:textId="77777777">
        <w:tblPrEx>
          <w:tblCellMar>
            <w:top w:w="0" w:type="dxa"/>
            <w:bottom w:w="0" w:type="dxa"/>
          </w:tblCellMar>
        </w:tblPrEx>
        <w:trPr>
          <w:cantSplit/>
          <w:trHeight w:val="560"/>
        </w:trPr>
        <w:tc>
          <w:tcPr>
            <w:tcW w:w="700" w:type="dxa"/>
            <w:tcMar>
              <w:top w:w="0" w:type="dxa"/>
              <w:bottom w:w="0" w:type="dxa"/>
            </w:tcMar>
            <w:vAlign w:val="center"/>
          </w:tcPr>
          <w:p w14:paraId="32952F9B" w14:textId="77777777" w:rsidR="002660AA" w:rsidRDefault="009B260F">
            <w:pPr>
              <w:keepNext/>
              <w:keepLines/>
              <w:spacing w:after="0" w:line="240" w:lineRule="auto"/>
            </w:pPr>
            <w:r>
              <w:rPr>
                <w:sz w:val="18"/>
              </w:rPr>
              <w:t>451</w:t>
            </w:r>
          </w:p>
        </w:tc>
        <w:tc>
          <w:tcPr>
            <w:tcW w:w="3180" w:type="dxa"/>
            <w:tcMar>
              <w:top w:w="0" w:type="dxa"/>
              <w:bottom w:w="0" w:type="dxa"/>
            </w:tcMar>
            <w:vAlign w:val="center"/>
          </w:tcPr>
          <w:p w14:paraId="20500CDA" w14:textId="77777777" w:rsidR="002660AA" w:rsidRDefault="009B260F">
            <w:pPr>
              <w:keepNext/>
              <w:keepLines/>
              <w:spacing w:after="0" w:line="240" w:lineRule="auto"/>
            </w:pPr>
            <w:r>
              <w:rPr>
                <w:sz w:val="18"/>
              </w:rPr>
              <w:t>Dodatna ulaganja na građevinskim objektima</w:t>
            </w:r>
          </w:p>
        </w:tc>
        <w:tc>
          <w:tcPr>
            <w:tcW w:w="700" w:type="dxa"/>
            <w:tcMar>
              <w:top w:w="0" w:type="dxa"/>
              <w:bottom w:w="0" w:type="dxa"/>
            </w:tcMar>
            <w:vAlign w:val="center"/>
          </w:tcPr>
          <w:p w14:paraId="3A09BBDF" w14:textId="77777777" w:rsidR="002660AA" w:rsidRDefault="009B260F">
            <w:pPr>
              <w:keepNext/>
              <w:keepLines/>
              <w:spacing w:after="0" w:line="240" w:lineRule="auto"/>
            </w:pPr>
            <w:r>
              <w:rPr>
                <w:sz w:val="18"/>
              </w:rPr>
              <w:t>451</w:t>
            </w:r>
          </w:p>
        </w:tc>
        <w:tc>
          <w:tcPr>
            <w:tcW w:w="1860" w:type="dxa"/>
            <w:tcMar>
              <w:top w:w="0" w:type="dxa"/>
              <w:bottom w:w="0" w:type="dxa"/>
            </w:tcMar>
            <w:vAlign w:val="center"/>
          </w:tcPr>
          <w:p w14:paraId="22792817" w14:textId="77777777" w:rsidR="002660AA" w:rsidRDefault="009B260F">
            <w:pPr>
              <w:keepNext/>
              <w:keepLines/>
              <w:spacing w:after="0" w:line="240" w:lineRule="auto"/>
              <w:jc w:val="right"/>
            </w:pPr>
            <w:r>
              <w:rPr>
                <w:sz w:val="18"/>
              </w:rPr>
              <w:t>476.385,28</w:t>
            </w:r>
          </w:p>
        </w:tc>
        <w:tc>
          <w:tcPr>
            <w:tcW w:w="1860" w:type="dxa"/>
            <w:tcMar>
              <w:top w:w="0" w:type="dxa"/>
              <w:bottom w:w="0" w:type="dxa"/>
            </w:tcMar>
            <w:vAlign w:val="center"/>
          </w:tcPr>
          <w:p w14:paraId="1D03B82C" w14:textId="77777777" w:rsidR="002660AA" w:rsidRDefault="009B260F">
            <w:pPr>
              <w:keepNext/>
              <w:keepLines/>
              <w:spacing w:after="0" w:line="240" w:lineRule="auto"/>
              <w:jc w:val="right"/>
            </w:pPr>
            <w:r>
              <w:rPr>
                <w:sz w:val="18"/>
              </w:rPr>
              <w:t>4.468.598,74</w:t>
            </w:r>
          </w:p>
        </w:tc>
        <w:tc>
          <w:tcPr>
            <w:tcW w:w="700" w:type="dxa"/>
            <w:tcMar>
              <w:top w:w="0" w:type="dxa"/>
              <w:bottom w:w="0" w:type="dxa"/>
            </w:tcMar>
            <w:vAlign w:val="center"/>
          </w:tcPr>
          <w:p w14:paraId="32BD4434" w14:textId="77777777" w:rsidR="002660AA" w:rsidRDefault="009B260F">
            <w:pPr>
              <w:keepNext/>
              <w:keepLines/>
              <w:spacing w:after="0" w:line="240" w:lineRule="auto"/>
              <w:jc w:val="right"/>
            </w:pPr>
            <w:r>
              <w:rPr>
                <w:sz w:val="18"/>
              </w:rPr>
              <w:t>938,0</w:t>
            </w:r>
          </w:p>
        </w:tc>
      </w:tr>
    </w:tbl>
    <w:p w14:paraId="50C044BE" w14:textId="77777777" w:rsidR="002660AA" w:rsidRDefault="002660AA">
      <w:pPr>
        <w:spacing w:after="0"/>
      </w:pPr>
    </w:p>
    <w:p w14:paraId="7B1A0583" w14:textId="77777777" w:rsidR="002660AA" w:rsidRDefault="009B260F">
      <w:r>
        <w:t>Dodatna ulaganja na građevinskim objektima bilježi realizaciju od 4.468.598,74 EUR. Najznačajniji trošak vezan je uz rekonstrukciju postojeće zgrade u Kampusu u sklopu  „Znanstveno inovacijski park – ITU“.</w:t>
      </w:r>
    </w:p>
    <w:p w14:paraId="30526049" w14:textId="77777777" w:rsidR="002660AA" w:rsidRDefault="002660AA"/>
    <w:p w14:paraId="6344A75C" w14:textId="77777777" w:rsidR="002660AA" w:rsidRDefault="009B260F">
      <w:pPr>
        <w:keepNext/>
        <w:spacing w:line="240" w:lineRule="auto"/>
        <w:jc w:val="center"/>
      </w:pPr>
      <w:r>
        <w:rPr>
          <w:sz w:val="28"/>
        </w:rPr>
        <w:t>Bilješka 96.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EB1860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BD5624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427AF7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183E74A"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C4CC10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796C7E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E80650D" w14:textId="77777777" w:rsidR="002660AA" w:rsidRDefault="009B260F">
            <w:pPr>
              <w:keepNext/>
              <w:keepLines/>
              <w:spacing w:after="0" w:line="240" w:lineRule="auto"/>
              <w:jc w:val="center"/>
            </w:pPr>
            <w:r>
              <w:rPr>
                <w:b/>
                <w:sz w:val="18"/>
              </w:rPr>
              <w:t>Indeks (%)</w:t>
            </w:r>
          </w:p>
        </w:tc>
      </w:tr>
      <w:tr w:rsidR="002660AA" w14:paraId="5E2A3E87" w14:textId="77777777">
        <w:tblPrEx>
          <w:tblCellMar>
            <w:top w:w="0" w:type="dxa"/>
            <w:bottom w:w="0" w:type="dxa"/>
          </w:tblCellMar>
        </w:tblPrEx>
        <w:trPr>
          <w:cantSplit/>
          <w:trHeight w:val="560"/>
        </w:trPr>
        <w:tc>
          <w:tcPr>
            <w:tcW w:w="700" w:type="dxa"/>
            <w:tcMar>
              <w:top w:w="0" w:type="dxa"/>
              <w:bottom w:w="0" w:type="dxa"/>
            </w:tcMar>
            <w:vAlign w:val="center"/>
          </w:tcPr>
          <w:p w14:paraId="5B6FA05F" w14:textId="77777777" w:rsidR="002660AA" w:rsidRDefault="009B260F">
            <w:pPr>
              <w:keepNext/>
              <w:keepLines/>
              <w:spacing w:after="0" w:line="240" w:lineRule="auto"/>
            </w:pPr>
            <w:r>
              <w:rPr>
                <w:sz w:val="18"/>
              </w:rPr>
              <w:t>8</w:t>
            </w:r>
          </w:p>
        </w:tc>
        <w:tc>
          <w:tcPr>
            <w:tcW w:w="3180" w:type="dxa"/>
            <w:tcMar>
              <w:top w:w="0" w:type="dxa"/>
              <w:bottom w:w="0" w:type="dxa"/>
            </w:tcMar>
            <w:vAlign w:val="center"/>
          </w:tcPr>
          <w:p w14:paraId="64683094" w14:textId="77777777" w:rsidR="002660AA" w:rsidRDefault="009B260F">
            <w:pPr>
              <w:keepNext/>
              <w:keepLines/>
              <w:spacing w:after="0" w:line="240" w:lineRule="auto"/>
            </w:pPr>
            <w:r>
              <w:rPr>
                <w:sz w:val="18"/>
              </w:rPr>
              <w:t>Primici od financijske imovine i zaduživanja (šifre 81+82+83+84+85)</w:t>
            </w:r>
          </w:p>
        </w:tc>
        <w:tc>
          <w:tcPr>
            <w:tcW w:w="700" w:type="dxa"/>
            <w:tcMar>
              <w:top w:w="0" w:type="dxa"/>
              <w:bottom w:w="0" w:type="dxa"/>
            </w:tcMar>
            <w:vAlign w:val="center"/>
          </w:tcPr>
          <w:p w14:paraId="0C1C9654" w14:textId="77777777" w:rsidR="002660AA" w:rsidRDefault="009B260F">
            <w:pPr>
              <w:keepNext/>
              <w:keepLines/>
              <w:spacing w:after="0" w:line="240" w:lineRule="auto"/>
            </w:pPr>
            <w:r>
              <w:rPr>
                <w:sz w:val="18"/>
              </w:rPr>
              <w:t>8</w:t>
            </w:r>
          </w:p>
        </w:tc>
        <w:tc>
          <w:tcPr>
            <w:tcW w:w="1860" w:type="dxa"/>
            <w:tcMar>
              <w:top w:w="0" w:type="dxa"/>
              <w:bottom w:w="0" w:type="dxa"/>
            </w:tcMar>
            <w:vAlign w:val="center"/>
          </w:tcPr>
          <w:p w14:paraId="3FBFD1F5" w14:textId="77777777" w:rsidR="002660AA" w:rsidRDefault="009B260F">
            <w:pPr>
              <w:keepNext/>
              <w:keepLines/>
              <w:spacing w:after="0" w:line="240" w:lineRule="auto"/>
              <w:jc w:val="right"/>
            </w:pPr>
            <w:r>
              <w:rPr>
                <w:sz w:val="18"/>
              </w:rPr>
              <w:t>1.613.041,89</w:t>
            </w:r>
          </w:p>
        </w:tc>
        <w:tc>
          <w:tcPr>
            <w:tcW w:w="1860" w:type="dxa"/>
            <w:tcMar>
              <w:top w:w="0" w:type="dxa"/>
              <w:bottom w:w="0" w:type="dxa"/>
            </w:tcMar>
            <w:vAlign w:val="center"/>
          </w:tcPr>
          <w:p w14:paraId="3CE67BBF" w14:textId="77777777" w:rsidR="002660AA" w:rsidRDefault="009B260F">
            <w:pPr>
              <w:keepNext/>
              <w:keepLines/>
              <w:spacing w:after="0" w:line="240" w:lineRule="auto"/>
              <w:jc w:val="right"/>
            </w:pPr>
            <w:r>
              <w:rPr>
                <w:sz w:val="18"/>
              </w:rPr>
              <w:t>10.314.382,55</w:t>
            </w:r>
          </w:p>
        </w:tc>
        <w:tc>
          <w:tcPr>
            <w:tcW w:w="700" w:type="dxa"/>
            <w:tcMar>
              <w:top w:w="0" w:type="dxa"/>
              <w:bottom w:w="0" w:type="dxa"/>
            </w:tcMar>
            <w:vAlign w:val="center"/>
          </w:tcPr>
          <w:p w14:paraId="71261CC2" w14:textId="77777777" w:rsidR="002660AA" w:rsidRDefault="009B260F">
            <w:pPr>
              <w:keepNext/>
              <w:keepLines/>
              <w:spacing w:after="0" w:line="240" w:lineRule="auto"/>
              <w:jc w:val="right"/>
            </w:pPr>
            <w:r>
              <w:rPr>
                <w:sz w:val="18"/>
              </w:rPr>
              <w:t>639,4</w:t>
            </w:r>
          </w:p>
        </w:tc>
      </w:tr>
    </w:tbl>
    <w:p w14:paraId="15ADAB38" w14:textId="77777777" w:rsidR="002660AA" w:rsidRDefault="002660AA">
      <w:pPr>
        <w:spacing w:after="0"/>
      </w:pPr>
    </w:p>
    <w:p w14:paraId="428E4595" w14:textId="77777777" w:rsidR="002660AA" w:rsidRDefault="009B260F">
      <w:r>
        <w:t>PRIMICI OD FINANCIJSKE IMOVINE I ZADUŽIVANJA (Razred 8) realizirali su se u iznosu od 10.314.382,55  EUR. U odnosu na prethodnu godinu govorimo o rastu od 539,4 posto. </w:t>
      </w:r>
    </w:p>
    <w:p w14:paraId="67102E7B" w14:textId="77777777" w:rsidR="002660AA" w:rsidRDefault="002660AA"/>
    <w:p w14:paraId="72D41E37" w14:textId="77777777" w:rsidR="002660AA" w:rsidRDefault="009B260F">
      <w:pPr>
        <w:keepNext/>
        <w:spacing w:line="240" w:lineRule="auto"/>
        <w:jc w:val="center"/>
      </w:pPr>
      <w:r>
        <w:rPr>
          <w:sz w:val="28"/>
        </w:rPr>
        <w:t>Bilješka 97.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92C65C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E9815A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B8349E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6B749DC"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994B1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3E1DCB1"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ADC1C0A" w14:textId="77777777" w:rsidR="002660AA" w:rsidRDefault="009B260F">
            <w:pPr>
              <w:keepNext/>
              <w:keepLines/>
              <w:spacing w:after="0" w:line="240" w:lineRule="auto"/>
              <w:jc w:val="center"/>
            </w:pPr>
            <w:r>
              <w:rPr>
                <w:b/>
                <w:sz w:val="18"/>
              </w:rPr>
              <w:t>Indeks (%)</w:t>
            </w:r>
          </w:p>
        </w:tc>
      </w:tr>
      <w:tr w:rsidR="002660AA" w14:paraId="482F3F61" w14:textId="77777777">
        <w:tblPrEx>
          <w:tblCellMar>
            <w:top w:w="0" w:type="dxa"/>
            <w:bottom w:w="0" w:type="dxa"/>
          </w:tblCellMar>
        </w:tblPrEx>
        <w:trPr>
          <w:cantSplit/>
          <w:trHeight w:val="560"/>
        </w:trPr>
        <w:tc>
          <w:tcPr>
            <w:tcW w:w="700" w:type="dxa"/>
            <w:tcMar>
              <w:top w:w="0" w:type="dxa"/>
              <w:bottom w:w="0" w:type="dxa"/>
            </w:tcMar>
            <w:vAlign w:val="center"/>
          </w:tcPr>
          <w:p w14:paraId="77495B55" w14:textId="77777777" w:rsidR="002660AA" w:rsidRDefault="009B260F">
            <w:pPr>
              <w:keepNext/>
              <w:keepLines/>
              <w:spacing w:after="0" w:line="240" w:lineRule="auto"/>
            </w:pPr>
            <w:r>
              <w:rPr>
                <w:sz w:val="18"/>
              </w:rPr>
              <w:t>8121</w:t>
            </w:r>
          </w:p>
        </w:tc>
        <w:tc>
          <w:tcPr>
            <w:tcW w:w="3180" w:type="dxa"/>
            <w:tcMar>
              <w:top w:w="0" w:type="dxa"/>
              <w:bottom w:w="0" w:type="dxa"/>
            </w:tcMar>
            <w:vAlign w:val="center"/>
          </w:tcPr>
          <w:p w14:paraId="5441B620" w14:textId="77777777" w:rsidR="002660AA" w:rsidRDefault="009B260F">
            <w:pPr>
              <w:keepNext/>
              <w:keepLines/>
              <w:spacing w:after="0" w:line="240" w:lineRule="auto"/>
            </w:pPr>
            <w:r>
              <w:rPr>
                <w:sz w:val="18"/>
              </w:rPr>
              <w:t>Povrat zajmova danih neprofitnim organizacijama, građanima i kućanstvima u tuzemstvu</w:t>
            </w:r>
          </w:p>
        </w:tc>
        <w:tc>
          <w:tcPr>
            <w:tcW w:w="700" w:type="dxa"/>
            <w:tcMar>
              <w:top w:w="0" w:type="dxa"/>
              <w:bottom w:w="0" w:type="dxa"/>
            </w:tcMar>
            <w:vAlign w:val="center"/>
          </w:tcPr>
          <w:p w14:paraId="77F4D957" w14:textId="77777777" w:rsidR="002660AA" w:rsidRDefault="009B260F">
            <w:pPr>
              <w:keepNext/>
              <w:keepLines/>
              <w:spacing w:after="0" w:line="240" w:lineRule="auto"/>
            </w:pPr>
            <w:r>
              <w:rPr>
                <w:sz w:val="18"/>
              </w:rPr>
              <w:t>8121</w:t>
            </w:r>
          </w:p>
        </w:tc>
        <w:tc>
          <w:tcPr>
            <w:tcW w:w="1860" w:type="dxa"/>
            <w:tcMar>
              <w:top w:w="0" w:type="dxa"/>
              <w:bottom w:w="0" w:type="dxa"/>
            </w:tcMar>
            <w:vAlign w:val="center"/>
          </w:tcPr>
          <w:p w14:paraId="0742D825" w14:textId="77777777" w:rsidR="002660AA" w:rsidRDefault="009B260F">
            <w:pPr>
              <w:keepNext/>
              <w:keepLines/>
              <w:spacing w:after="0" w:line="240" w:lineRule="auto"/>
              <w:jc w:val="right"/>
            </w:pPr>
            <w:r>
              <w:rPr>
                <w:sz w:val="18"/>
              </w:rPr>
              <w:t>112.712,43</w:t>
            </w:r>
          </w:p>
        </w:tc>
        <w:tc>
          <w:tcPr>
            <w:tcW w:w="1860" w:type="dxa"/>
            <w:tcMar>
              <w:top w:w="0" w:type="dxa"/>
              <w:bottom w:w="0" w:type="dxa"/>
            </w:tcMar>
            <w:vAlign w:val="center"/>
          </w:tcPr>
          <w:p w14:paraId="2A6AA888" w14:textId="77777777" w:rsidR="002660AA" w:rsidRDefault="009B260F">
            <w:pPr>
              <w:keepNext/>
              <w:keepLines/>
              <w:spacing w:after="0" w:line="240" w:lineRule="auto"/>
              <w:jc w:val="right"/>
            </w:pPr>
            <w:r>
              <w:rPr>
                <w:sz w:val="18"/>
              </w:rPr>
              <w:t>125.113,04</w:t>
            </w:r>
          </w:p>
        </w:tc>
        <w:tc>
          <w:tcPr>
            <w:tcW w:w="700" w:type="dxa"/>
            <w:tcMar>
              <w:top w:w="0" w:type="dxa"/>
              <w:bottom w:w="0" w:type="dxa"/>
            </w:tcMar>
            <w:vAlign w:val="center"/>
          </w:tcPr>
          <w:p w14:paraId="58D03FDF" w14:textId="77777777" w:rsidR="002660AA" w:rsidRDefault="009B260F">
            <w:pPr>
              <w:keepNext/>
              <w:keepLines/>
              <w:spacing w:after="0" w:line="240" w:lineRule="auto"/>
              <w:jc w:val="right"/>
            </w:pPr>
            <w:r>
              <w:rPr>
                <w:sz w:val="18"/>
              </w:rPr>
              <w:t>111,0</w:t>
            </w:r>
          </w:p>
        </w:tc>
      </w:tr>
    </w:tbl>
    <w:p w14:paraId="579F3F42" w14:textId="77777777" w:rsidR="002660AA" w:rsidRDefault="002660AA">
      <w:pPr>
        <w:spacing w:after="0"/>
      </w:pPr>
    </w:p>
    <w:p w14:paraId="134AAAB6" w14:textId="77777777" w:rsidR="002660AA" w:rsidRDefault="009B260F">
      <w:r>
        <w:t>Povrat zajmova danih neprofitnim organizacijama, građanima i kućanstvima u tuzemstvu evidentira povećanje od 11 posto koje se odnosi na povrat sredstava po osnovi ranije isplaćenih stipendija.</w:t>
      </w:r>
    </w:p>
    <w:p w14:paraId="3283B287" w14:textId="77777777" w:rsidR="002660AA" w:rsidRDefault="002660AA"/>
    <w:p w14:paraId="0164B78B" w14:textId="77777777" w:rsidR="002660AA" w:rsidRDefault="009B260F">
      <w:pPr>
        <w:keepNext/>
        <w:spacing w:line="240" w:lineRule="auto"/>
        <w:jc w:val="center"/>
      </w:pPr>
      <w:r>
        <w:rPr>
          <w:sz w:val="28"/>
        </w:rPr>
        <w:t>Bilješka 98.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032ACB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FE2027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C84BD0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B54DDA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1C7DD3B"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B7EF58E"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09F0940" w14:textId="77777777" w:rsidR="002660AA" w:rsidRDefault="009B260F">
            <w:pPr>
              <w:keepNext/>
              <w:keepLines/>
              <w:spacing w:after="0" w:line="240" w:lineRule="auto"/>
              <w:jc w:val="center"/>
            </w:pPr>
            <w:r>
              <w:rPr>
                <w:b/>
                <w:sz w:val="18"/>
              </w:rPr>
              <w:t>Indeks (%)</w:t>
            </w:r>
          </w:p>
        </w:tc>
      </w:tr>
      <w:tr w:rsidR="002660AA" w14:paraId="64AF9AD5" w14:textId="77777777">
        <w:tblPrEx>
          <w:tblCellMar>
            <w:top w:w="0" w:type="dxa"/>
            <w:bottom w:w="0" w:type="dxa"/>
          </w:tblCellMar>
        </w:tblPrEx>
        <w:trPr>
          <w:cantSplit/>
          <w:trHeight w:val="560"/>
        </w:trPr>
        <w:tc>
          <w:tcPr>
            <w:tcW w:w="700" w:type="dxa"/>
            <w:tcMar>
              <w:top w:w="0" w:type="dxa"/>
              <w:bottom w:w="0" w:type="dxa"/>
            </w:tcMar>
            <w:vAlign w:val="center"/>
          </w:tcPr>
          <w:p w14:paraId="23191232" w14:textId="77777777" w:rsidR="002660AA" w:rsidRDefault="009B260F">
            <w:pPr>
              <w:keepNext/>
              <w:keepLines/>
              <w:spacing w:after="0" w:line="240" w:lineRule="auto"/>
            </w:pPr>
            <w:r>
              <w:rPr>
                <w:sz w:val="18"/>
              </w:rPr>
              <w:t>8164</w:t>
            </w:r>
          </w:p>
        </w:tc>
        <w:tc>
          <w:tcPr>
            <w:tcW w:w="3180" w:type="dxa"/>
            <w:tcMar>
              <w:top w:w="0" w:type="dxa"/>
              <w:bottom w:w="0" w:type="dxa"/>
            </w:tcMar>
            <w:vAlign w:val="center"/>
          </w:tcPr>
          <w:p w14:paraId="13DBCB9A" w14:textId="77777777" w:rsidR="002660AA" w:rsidRDefault="009B260F">
            <w:pPr>
              <w:keepNext/>
              <w:keepLines/>
              <w:spacing w:after="0" w:line="240" w:lineRule="auto"/>
            </w:pPr>
            <w:r>
              <w:rPr>
                <w:sz w:val="18"/>
              </w:rPr>
              <w:t>Povrat zajmova danih tuzemnim obrtnicima</w:t>
            </w:r>
          </w:p>
        </w:tc>
        <w:tc>
          <w:tcPr>
            <w:tcW w:w="700" w:type="dxa"/>
            <w:tcMar>
              <w:top w:w="0" w:type="dxa"/>
              <w:bottom w:w="0" w:type="dxa"/>
            </w:tcMar>
            <w:vAlign w:val="center"/>
          </w:tcPr>
          <w:p w14:paraId="721E98B3" w14:textId="77777777" w:rsidR="002660AA" w:rsidRDefault="009B260F">
            <w:pPr>
              <w:keepNext/>
              <w:keepLines/>
              <w:spacing w:after="0" w:line="240" w:lineRule="auto"/>
            </w:pPr>
            <w:r>
              <w:rPr>
                <w:sz w:val="18"/>
              </w:rPr>
              <w:t>8164</w:t>
            </w:r>
          </w:p>
        </w:tc>
        <w:tc>
          <w:tcPr>
            <w:tcW w:w="1860" w:type="dxa"/>
            <w:tcMar>
              <w:top w:w="0" w:type="dxa"/>
              <w:bottom w:w="0" w:type="dxa"/>
            </w:tcMar>
            <w:vAlign w:val="center"/>
          </w:tcPr>
          <w:p w14:paraId="1AD50F5A" w14:textId="77777777" w:rsidR="002660AA" w:rsidRDefault="009B260F">
            <w:pPr>
              <w:keepNext/>
              <w:keepLines/>
              <w:spacing w:after="0" w:line="240" w:lineRule="auto"/>
              <w:jc w:val="right"/>
            </w:pPr>
            <w:r>
              <w:rPr>
                <w:sz w:val="18"/>
              </w:rPr>
              <w:t>329,46</w:t>
            </w:r>
          </w:p>
        </w:tc>
        <w:tc>
          <w:tcPr>
            <w:tcW w:w="1860" w:type="dxa"/>
            <w:tcMar>
              <w:top w:w="0" w:type="dxa"/>
              <w:bottom w:w="0" w:type="dxa"/>
            </w:tcMar>
            <w:vAlign w:val="center"/>
          </w:tcPr>
          <w:p w14:paraId="7ABAC124" w14:textId="77777777" w:rsidR="002660AA" w:rsidRDefault="009B260F">
            <w:pPr>
              <w:keepNext/>
              <w:keepLines/>
              <w:spacing w:after="0" w:line="240" w:lineRule="auto"/>
              <w:jc w:val="right"/>
            </w:pPr>
            <w:r>
              <w:rPr>
                <w:sz w:val="18"/>
              </w:rPr>
              <w:t>3.660,96</w:t>
            </w:r>
          </w:p>
        </w:tc>
        <w:tc>
          <w:tcPr>
            <w:tcW w:w="700" w:type="dxa"/>
            <w:tcMar>
              <w:top w:w="0" w:type="dxa"/>
              <w:bottom w:w="0" w:type="dxa"/>
            </w:tcMar>
            <w:vAlign w:val="center"/>
          </w:tcPr>
          <w:p w14:paraId="69906CEC" w14:textId="77777777" w:rsidR="002660AA" w:rsidRDefault="009B260F">
            <w:pPr>
              <w:keepNext/>
              <w:keepLines/>
              <w:spacing w:after="0" w:line="240" w:lineRule="auto"/>
              <w:jc w:val="right"/>
            </w:pPr>
            <w:r>
              <w:rPr>
                <w:sz w:val="18"/>
              </w:rPr>
              <w:t>1111,2</w:t>
            </w:r>
          </w:p>
        </w:tc>
      </w:tr>
    </w:tbl>
    <w:p w14:paraId="3FD3DC4F" w14:textId="77777777" w:rsidR="002660AA" w:rsidRDefault="002660AA">
      <w:pPr>
        <w:spacing w:after="0"/>
      </w:pPr>
    </w:p>
    <w:p w14:paraId="3DB79100" w14:textId="77777777" w:rsidR="002660AA" w:rsidRDefault="009B260F">
      <w:r>
        <w:t>Povećan povrat poduzetničkih kredita je vezan uz dva razloga. Prvi razlog je što je par korisnika došlo u red naplate po ovrsi dok je drugi razlog što su neki otplatili većinu svoje kamate te su počeli otplaćivati glavnicu.</w:t>
      </w:r>
    </w:p>
    <w:p w14:paraId="46427FB9" w14:textId="77777777" w:rsidR="002660AA" w:rsidRDefault="002660AA"/>
    <w:p w14:paraId="002AA411" w14:textId="77777777" w:rsidR="002660AA" w:rsidRDefault="009B260F">
      <w:pPr>
        <w:keepNext/>
        <w:spacing w:line="240" w:lineRule="auto"/>
        <w:jc w:val="center"/>
      </w:pPr>
      <w:r>
        <w:rPr>
          <w:sz w:val="28"/>
        </w:rPr>
        <w:t>Bilješka 99.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E2F113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EE4DB1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CB5128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99507A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552A0F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DF6697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138E17C" w14:textId="77777777" w:rsidR="002660AA" w:rsidRDefault="009B260F">
            <w:pPr>
              <w:keepNext/>
              <w:keepLines/>
              <w:spacing w:after="0" w:line="240" w:lineRule="auto"/>
              <w:jc w:val="center"/>
            </w:pPr>
            <w:r>
              <w:rPr>
                <w:b/>
                <w:sz w:val="18"/>
              </w:rPr>
              <w:t>Indeks (%)</w:t>
            </w:r>
          </w:p>
        </w:tc>
      </w:tr>
      <w:tr w:rsidR="002660AA" w14:paraId="4EC5279D" w14:textId="77777777">
        <w:tblPrEx>
          <w:tblCellMar>
            <w:top w:w="0" w:type="dxa"/>
            <w:bottom w:w="0" w:type="dxa"/>
          </w:tblCellMar>
        </w:tblPrEx>
        <w:trPr>
          <w:cantSplit/>
          <w:trHeight w:val="560"/>
        </w:trPr>
        <w:tc>
          <w:tcPr>
            <w:tcW w:w="700" w:type="dxa"/>
            <w:tcMar>
              <w:top w:w="0" w:type="dxa"/>
              <w:bottom w:w="0" w:type="dxa"/>
            </w:tcMar>
            <w:vAlign w:val="center"/>
          </w:tcPr>
          <w:p w14:paraId="0EB4232E" w14:textId="77777777" w:rsidR="002660AA" w:rsidRDefault="009B260F">
            <w:pPr>
              <w:keepNext/>
              <w:keepLines/>
              <w:spacing w:after="0" w:line="240" w:lineRule="auto"/>
            </w:pPr>
            <w:r>
              <w:rPr>
                <w:sz w:val="18"/>
              </w:rPr>
              <w:t>818</w:t>
            </w:r>
          </w:p>
        </w:tc>
        <w:tc>
          <w:tcPr>
            <w:tcW w:w="3180" w:type="dxa"/>
            <w:tcMar>
              <w:top w:w="0" w:type="dxa"/>
              <w:bottom w:w="0" w:type="dxa"/>
            </w:tcMar>
            <w:vAlign w:val="center"/>
          </w:tcPr>
          <w:p w14:paraId="2FB65808" w14:textId="77777777" w:rsidR="002660AA" w:rsidRDefault="009B260F">
            <w:pPr>
              <w:keepNext/>
              <w:keepLines/>
              <w:spacing w:after="0" w:line="240" w:lineRule="auto"/>
            </w:pPr>
            <w:r>
              <w:rPr>
                <w:sz w:val="18"/>
              </w:rPr>
              <w:t>Primici od povrata jamčevnih pologa</w:t>
            </w:r>
          </w:p>
        </w:tc>
        <w:tc>
          <w:tcPr>
            <w:tcW w:w="700" w:type="dxa"/>
            <w:tcMar>
              <w:top w:w="0" w:type="dxa"/>
              <w:bottom w:w="0" w:type="dxa"/>
            </w:tcMar>
            <w:vAlign w:val="center"/>
          </w:tcPr>
          <w:p w14:paraId="015BE6DA" w14:textId="77777777" w:rsidR="002660AA" w:rsidRDefault="009B260F">
            <w:pPr>
              <w:keepNext/>
              <w:keepLines/>
              <w:spacing w:after="0" w:line="240" w:lineRule="auto"/>
            </w:pPr>
            <w:r>
              <w:rPr>
                <w:sz w:val="18"/>
              </w:rPr>
              <w:t>818</w:t>
            </w:r>
          </w:p>
        </w:tc>
        <w:tc>
          <w:tcPr>
            <w:tcW w:w="1860" w:type="dxa"/>
            <w:tcMar>
              <w:top w:w="0" w:type="dxa"/>
              <w:bottom w:w="0" w:type="dxa"/>
            </w:tcMar>
            <w:vAlign w:val="center"/>
          </w:tcPr>
          <w:p w14:paraId="3DB3F8A9" w14:textId="77777777" w:rsidR="002660AA" w:rsidRDefault="009B260F">
            <w:pPr>
              <w:keepNext/>
              <w:keepLines/>
              <w:spacing w:after="0" w:line="240" w:lineRule="auto"/>
              <w:jc w:val="right"/>
            </w:pPr>
            <w:r>
              <w:rPr>
                <w:sz w:val="18"/>
              </w:rPr>
              <w:t>1.500.000,00</w:t>
            </w:r>
          </w:p>
        </w:tc>
        <w:tc>
          <w:tcPr>
            <w:tcW w:w="1860" w:type="dxa"/>
            <w:tcMar>
              <w:top w:w="0" w:type="dxa"/>
              <w:bottom w:w="0" w:type="dxa"/>
            </w:tcMar>
            <w:vAlign w:val="center"/>
          </w:tcPr>
          <w:p w14:paraId="3C573F77"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7A2A95E3" w14:textId="77777777" w:rsidR="002660AA" w:rsidRDefault="009B260F">
            <w:pPr>
              <w:keepNext/>
              <w:keepLines/>
              <w:spacing w:after="0" w:line="240" w:lineRule="auto"/>
              <w:jc w:val="right"/>
            </w:pPr>
            <w:r>
              <w:rPr>
                <w:sz w:val="18"/>
              </w:rPr>
              <w:t>0</w:t>
            </w:r>
          </w:p>
        </w:tc>
      </w:tr>
    </w:tbl>
    <w:p w14:paraId="7C8D9F81" w14:textId="77777777" w:rsidR="002660AA" w:rsidRDefault="002660AA">
      <w:pPr>
        <w:spacing w:after="0"/>
      </w:pPr>
    </w:p>
    <w:p w14:paraId="602D0029" w14:textId="77777777" w:rsidR="002660AA" w:rsidRDefault="009B260F">
      <w:r>
        <w:t>Grad je tijekom 2024 godine ostvario primitak od 1.500.000 EUR oročenih sredstava iz 2023. godine. </w:t>
      </w:r>
    </w:p>
    <w:p w14:paraId="396C1F1A" w14:textId="77777777" w:rsidR="002660AA" w:rsidRDefault="002660AA"/>
    <w:p w14:paraId="03F20C1B" w14:textId="77777777" w:rsidR="002660AA" w:rsidRDefault="009B260F">
      <w:pPr>
        <w:keepNext/>
        <w:spacing w:line="240" w:lineRule="auto"/>
        <w:jc w:val="center"/>
      </w:pPr>
      <w:r>
        <w:rPr>
          <w:sz w:val="28"/>
        </w:rPr>
        <w:t>Bilješka 100.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691351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7C70B3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A076CD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9E8599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1C1C0A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107EB7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7E1A55A" w14:textId="77777777" w:rsidR="002660AA" w:rsidRDefault="009B260F">
            <w:pPr>
              <w:keepNext/>
              <w:keepLines/>
              <w:spacing w:after="0" w:line="240" w:lineRule="auto"/>
              <w:jc w:val="center"/>
            </w:pPr>
            <w:r>
              <w:rPr>
                <w:b/>
                <w:sz w:val="18"/>
              </w:rPr>
              <w:t>Indeks (%)</w:t>
            </w:r>
          </w:p>
        </w:tc>
      </w:tr>
      <w:tr w:rsidR="002660AA" w14:paraId="7D5E278F" w14:textId="77777777">
        <w:tblPrEx>
          <w:tblCellMar>
            <w:top w:w="0" w:type="dxa"/>
            <w:bottom w:w="0" w:type="dxa"/>
          </w:tblCellMar>
        </w:tblPrEx>
        <w:trPr>
          <w:cantSplit/>
          <w:trHeight w:val="560"/>
        </w:trPr>
        <w:tc>
          <w:tcPr>
            <w:tcW w:w="700" w:type="dxa"/>
            <w:tcMar>
              <w:top w:w="0" w:type="dxa"/>
              <w:bottom w:w="0" w:type="dxa"/>
            </w:tcMar>
            <w:vAlign w:val="center"/>
          </w:tcPr>
          <w:p w14:paraId="3BAF0442" w14:textId="77777777" w:rsidR="002660AA" w:rsidRDefault="009B260F">
            <w:pPr>
              <w:keepNext/>
              <w:keepLines/>
              <w:spacing w:after="0" w:line="240" w:lineRule="auto"/>
            </w:pPr>
            <w:r>
              <w:rPr>
                <w:sz w:val="18"/>
              </w:rPr>
              <w:t>8422</w:t>
            </w:r>
          </w:p>
        </w:tc>
        <w:tc>
          <w:tcPr>
            <w:tcW w:w="3180" w:type="dxa"/>
            <w:tcMar>
              <w:top w:w="0" w:type="dxa"/>
              <w:bottom w:w="0" w:type="dxa"/>
            </w:tcMar>
            <w:vAlign w:val="center"/>
          </w:tcPr>
          <w:p w14:paraId="44431B56" w14:textId="77777777" w:rsidR="002660AA" w:rsidRDefault="009B260F">
            <w:pPr>
              <w:keepNext/>
              <w:keepLines/>
              <w:spacing w:after="0" w:line="240" w:lineRule="auto"/>
            </w:pPr>
            <w:r>
              <w:rPr>
                <w:sz w:val="18"/>
              </w:rPr>
              <w:t>Primljeni krediti od kreditnih institucija u javnom sektoru</w:t>
            </w:r>
          </w:p>
        </w:tc>
        <w:tc>
          <w:tcPr>
            <w:tcW w:w="700" w:type="dxa"/>
            <w:tcMar>
              <w:top w:w="0" w:type="dxa"/>
              <w:bottom w:w="0" w:type="dxa"/>
            </w:tcMar>
            <w:vAlign w:val="center"/>
          </w:tcPr>
          <w:p w14:paraId="5D7C9765" w14:textId="77777777" w:rsidR="002660AA" w:rsidRDefault="009B260F">
            <w:pPr>
              <w:keepNext/>
              <w:keepLines/>
              <w:spacing w:after="0" w:line="240" w:lineRule="auto"/>
            </w:pPr>
            <w:r>
              <w:rPr>
                <w:sz w:val="18"/>
              </w:rPr>
              <w:t>8422</w:t>
            </w:r>
          </w:p>
        </w:tc>
        <w:tc>
          <w:tcPr>
            <w:tcW w:w="1860" w:type="dxa"/>
            <w:tcMar>
              <w:top w:w="0" w:type="dxa"/>
              <w:bottom w:w="0" w:type="dxa"/>
            </w:tcMar>
            <w:vAlign w:val="center"/>
          </w:tcPr>
          <w:p w14:paraId="0FC8DFC7"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283D7FDB" w14:textId="77777777" w:rsidR="002660AA" w:rsidRDefault="009B260F">
            <w:pPr>
              <w:keepNext/>
              <w:keepLines/>
              <w:spacing w:after="0" w:line="240" w:lineRule="auto"/>
              <w:jc w:val="right"/>
            </w:pPr>
            <w:r>
              <w:rPr>
                <w:sz w:val="18"/>
              </w:rPr>
              <w:t>5.185.608,55</w:t>
            </w:r>
          </w:p>
        </w:tc>
        <w:tc>
          <w:tcPr>
            <w:tcW w:w="700" w:type="dxa"/>
            <w:tcMar>
              <w:top w:w="0" w:type="dxa"/>
              <w:bottom w:w="0" w:type="dxa"/>
            </w:tcMar>
            <w:vAlign w:val="center"/>
          </w:tcPr>
          <w:p w14:paraId="5A5EAEA0" w14:textId="77777777" w:rsidR="002660AA" w:rsidRDefault="009B260F">
            <w:pPr>
              <w:keepNext/>
              <w:keepLines/>
              <w:spacing w:after="0" w:line="240" w:lineRule="auto"/>
              <w:jc w:val="right"/>
            </w:pPr>
            <w:r>
              <w:rPr>
                <w:sz w:val="18"/>
              </w:rPr>
              <w:t>-</w:t>
            </w:r>
          </w:p>
        </w:tc>
      </w:tr>
    </w:tbl>
    <w:p w14:paraId="20208752" w14:textId="77777777" w:rsidR="002660AA" w:rsidRDefault="002660AA">
      <w:pPr>
        <w:spacing w:after="0"/>
      </w:pPr>
    </w:p>
    <w:p w14:paraId="1AF41DB2" w14:textId="77777777" w:rsidR="002660AA" w:rsidRDefault="009B260F">
      <w:r>
        <w:t>Grad je tijekom 2025. godine angažirao 5.185.608,55 EUR sredstava dugoročnog kredita HBOR-a za dvije kapitalne investicije, izgradnju DV Bajer i Sortirnice u Herešinu.</w:t>
      </w:r>
    </w:p>
    <w:p w14:paraId="22240564" w14:textId="77777777" w:rsidR="002660AA" w:rsidRDefault="009B260F">
      <w:r>
        <w:t> </w:t>
      </w:r>
    </w:p>
    <w:p w14:paraId="5AEF8AFE" w14:textId="77777777" w:rsidR="002660AA" w:rsidRDefault="002660AA"/>
    <w:p w14:paraId="32B41EEC" w14:textId="77777777" w:rsidR="002660AA" w:rsidRDefault="009B260F">
      <w:pPr>
        <w:keepNext/>
        <w:spacing w:line="240" w:lineRule="auto"/>
        <w:jc w:val="center"/>
      </w:pPr>
      <w:r>
        <w:rPr>
          <w:sz w:val="28"/>
        </w:rPr>
        <w:t>Bilješka 101.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E50AA7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31305B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BD04B3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0E1C31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00506FE"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BEA115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DA92DD8" w14:textId="77777777" w:rsidR="002660AA" w:rsidRDefault="009B260F">
            <w:pPr>
              <w:keepNext/>
              <w:keepLines/>
              <w:spacing w:after="0" w:line="240" w:lineRule="auto"/>
              <w:jc w:val="center"/>
            </w:pPr>
            <w:r>
              <w:rPr>
                <w:b/>
                <w:sz w:val="18"/>
              </w:rPr>
              <w:t>Indeks (%)</w:t>
            </w:r>
          </w:p>
        </w:tc>
      </w:tr>
      <w:tr w:rsidR="002660AA" w14:paraId="418E1013" w14:textId="77777777">
        <w:tblPrEx>
          <w:tblCellMar>
            <w:top w:w="0" w:type="dxa"/>
            <w:bottom w:w="0" w:type="dxa"/>
          </w:tblCellMar>
        </w:tblPrEx>
        <w:trPr>
          <w:cantSplit/>
          <w:trHeight w:val="560"/>
        </w:trPr>
        <w:tc>
          <w:tcPr>
            <w:tcW w:w="700" w:type="dxa"/>
            <w:tcMar>
              <w:top w:w="0" w:type="dxa"/>
              <w:bottom w:w="0" w:type="dxa"/>
            </w:tcMar>
            <w:vAlign w:val="center"/>
          </w:tcPr>
          <w:p w14:paraId="57A929FE" w14:textId="77777777" w:rsidR="002660AA" w:rsidRDefault="009B260F">
            <w:pPr>
              <w:keepNext/>
              <w:keepLines/>
              <w:spacing w:after="0" w:line="240" w:lineRule="auto"/>
            </w:pPr>
            <w:r>
              <w:rPr>
                <w:sz w:val="18"/>
              </w:rPr>
              <w:t>8443</w:t>
            </w:r>
          </w:p>
        </w:tc>
        <w:tc>
          <w:tcPr>
            <w:tcW w:w="3180" w:type="dxa"/>
            <w:tcMar>
              <w:top w:w="0" w:type="dxa"/>
              <w:bottom w:w="0" w:type="dxa"/>
            </w:tcMar>
            <w:vAlign w:val="center"/>
          </w:tcPr>
          <w:p w14:paraId="0FBCD20A" w14:textId="77777777" w:rsidR="002660AA" w:rsidRDefault="009B260F">
            <w:pPr>
              <w:keepNext/>
              <w:keepLines/>
              <w:spacing w:after="0" w:line="240" w:lineRule="auto"/>
            </w:pPr>
            <w:r>
              <w:rPr>
                <w:sz w:val="18"/>
              </w:rPr>
              <w:t>Primljeni krediti od tuzemnih kreditnih institucija izvan javnog sektora</w:t>
            </w:r>
          </w:p>
        </w:tc>
        <w:tc>
          <w:tcPr>
            <w:tcW w:w="700" w:type="dxa"/>
            <w:tcMar>
              <w:top w:w="0" w:type="dxa"/>
              <w:bottom w:w="0" w:type="dxa"/>
            </w:tcMar>
            <w:vAlign w:val="center"/>
          </w:tcPr>
          <w:p w14:paraId="59D27829" w14:textId="77777777" w:rsidR="002660AA" w:rsidRDefault="009B260F">
            <w:pPr>
              <w:keepNext/>
              <w:keepLines/>
              <w:spacing w:after="0" w:line="240" w:lineRule="auto"/>
            </w:pPr>
            <w:r>
              <w:rPr>
                <w:sz w:val="18"/>
              </w:rPr>
              <w:t>8443</w:t>
            </w:r>
          </w:p>
        </w:tc>
        <w:tc>
          <w:tcPr>
            <w:tcW w:w="1860" w:type="dxa"/>
            <w:tcMar>
              <w:top w:w="0" w:type="dxa"/>
              <w:bottom w:w="0" w:type="dxa"/>
            </w:tcMar>
            <w:vAlign w:val="center"/>
          </w:tcPr>
          <w:p w14:paraId="7A58B560"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38332713" w14:textId="77777777" w:rsidR="002660AA" w:rsidRDefault="009B260F">
            <w:pPr>
              <w:keepNext/>
              <w:keepLines/>
              <w:spacing w:after="0" w:line="240" w:lineRule="auto"/>
              <w:jc w:val="right"/>
            </w:pPr>
            <w:r>
              <w:rPr>
                <w:sz w:val="18"/>
              </w:rPr>
              <w:t>5.000.000,00</w:t>
            </w:r>
          </w:p>
        </w:tc>
        <w:tc>
          <w:tcPr>
            <w:tcW w:w="700" w:type="dxa"/>
            <w:tcMar>
              <w:top w:w="0" w:type="dxa"/>
              <w:bottom w:w="0" w:type="dxa"/>
            </w:tcMar>
            <w:vAlign w:val="center"/>
          </w:tcPr>
          <w:p w14:paraId="1D6EDFD7" w14:textId="77777777" w:rsidR="002660AA" w:rsidRDefault="009B260F">
            <w:pPr>
              <w:keepNext/>
              <w:keepLines/>
              <w:spacing w:after="0" w:line="240" w:lineRule="auto"/>
              <w:jc w:val="right"/>
            </w:pPr>
            <w:r>
              <w:rPr>
                <w:sz w:val="18"/>
              </w:rPr>
              <w:t>-</w:t>
            </w:r>
          </w:p>
        </w:tc>
      </w:tr>
    </w:tbl>
    <w:p w14:paraId="020B81FF" w14:textId="77777777" w:rsidR="002660AA" w:rsidRDefault="002660AA">
      <w:pPr>
        <w:spacing w:after="0"/>
      </w:pPr>
    </w:p>
    <w:p w14:paraId="0E86C5FE" w14:textId="77777777" w:rsidR="002660AA" w:rsidRDefault="009B260F">
      <w:r>
        <w:t>Grad je tijekom 2025. godine također ostvario primitak od 5.000.000,00 EUR kratkoročnog revolving kredita kod PBZ d.d. Zagreb s room dospijeća 29.04.2026. godine.</w:t>
      </w:r>
    </w:p>
    <w:p w14:paraId="63665726" w14:textId="77777777" w:rsidR="002660AA" w:rsidRDefault="002660AA"/>
    <w:p w14:paraId="682A2E49" w14:textId="77777777" w:rsidR="002660AA" w:rsidRDefault="009B260F">
      <w:pPr>
        <w:keepNext/>
        <w:spacing w:line="240" w:lineRule="auto"/>
        <w:jc w:val="center"/>
      </w:pPr>
      <w:r>
        <w:rPr>
          <w:sz w:val="28"/>
        </w:rPr>
        <w:t>Bilješka 102.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F112A1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53E8C6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B9DE64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397D98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800E0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2A7903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1546E1D" w14:textId="77777777" w:rsidR="002660AA" w:rsidRDefault="009B260F">
            <w:pPr>
              <w:keepNext/>
              <w:keepLines/>
              <w:spacing w:after="0" w:line="240" w:lineRule="auto"/>
              <w:jc w:val="center"/>
            </w:pPr>
            <w:r>
              <w:rPr>
                <w:b/>
                <w:sz w:val="18"/>
              </w:rPr>
              <w:t>Indeks (%)</w:t>
            </w:r>
          </w:p>
        </w:tc>
      </w:tr>
      <w:tr w:rsidR="002660AA" w14:paraId="3036A683" w14:textId="77777777">
        <w:tblPrEx>
          <w:tblCellMar>
            <w:top w:w="0" w:type="dxa"/>
            <w:bottom w:w="0" w:type="dxa"/>
          </w:tblCellMar>
        </w:tblPrEx>
        <w:trPr>
          <w:cantSplit/>
          <w:trHeight w:val="560"/>
        </w:trPr>
        <w:tc>
          <w:tcPr>
            <w:tcW w:w="700" w:type="dxa"/>
            <w:tcMar>
              <w:top w:w="0" w:type="dxa"/>
              <w:bottom w:w="0" w:type="dxa"/>
            </w:tcMar>
            <w:vAlign w:val="center"/>
          </w:tcPr>
          <w:p w14:paraId="2088D993" w14:textId="77777777" w:rsidR="002660AA" w:rsidRDefault="009B260F">
            <w:pPr>
              <w:keepNext/>
              <w:keepLines/>
              <w:spacing w:after="0" w:line="240" w:lineRule="auto"/>
            </w:pPr>
            <w:r>
              <w:rPr>
                <w:sz w:val="18"/>
              </w:rPr>
              <w:t>5</w:t>
            </w:r>
          </w:p>
        </w:tc>
        <w:tc>
          <w:tcPr>
            <w:tcW w:w="3180" w:type="dxa"/>
            <w:tcMar>
              <w:top w:w="0" w:type="dxa"/>
              <w:bottom w:w="0" w:type="dxa"/>
            </w:tcMar>
            <w:vAlign w:val="center"/>
          </w:tcPr>
          <w:p w14:paraId="3D0FA3BC" w14:textId="77777777" w:rsidR="002660AA" w:rsidRDefault="009B260F">
            <w:pPr>
              <w:keepNext/>
              <w:keepLines/>
              <w:spacing w:after="0" w:line="240" w:lineRule="auto"/>
            </w:pPr>
            <w:r>
              <w:rPr>
                <w:sz w:val="18"/>
              </w:rPr>
              <w:t>Izdaci za financijsku imovinu i otplate zajmova (šifre 51+52+53+54+55)</w:t>
            </w:r>
          </w:p>
        </w:tc>
        <w:tc>
          <w:tcPr>
            <w:tcW w:w="700" w:type="dxa"/>
            <w:tcMar>
              <w:top w:w="0" w:type="dxa"/>
              <w:bottom w:w="0" w:type="dxa"/>
            </w:tcMar>
            <w:vAlign w:val="center"/>
          </w:tcPr>
          <w:p w14:paraId="1C093A24" w14:textId="77777777" w:rsidR="002660AA" w:rsidRDefault="009B260F">
            <w:pPr>
              <w:keepNext/>
              <w:keepLines/>
              <w:spacing w:after="0" w:line="240" w:lineRule="auto"/>
            </w:pPr>
            <w:r>
              <w:rPr>
                <w:sz w:val="18"/>
              </w:rPr>
              <w:t>5</w:t>
            </w:r>
          </w:p>
        </w:tc>
        <w:tc>
          <w:tcPr>
            <w:tcW w:w="1860" w:type="dxa"/>
            <w:tcMar>
              <w:top w:w="0" w:type="dxa"/>
              <w:bottom w:w="0" w:type="dxa"/>
            </w:tcMar>
            <w:vAlign w:val="center"/>
          </w:tcPr>
          <w:p w14:paraId="29083E90" w14:textId="77777777" w:rsidR="002660AA" w:rsidRDefault="009B260F">
            <w:pPr>
              <w:keepNext/>
              <w:keepLines/>
              <w:spacing w:after="0" w:line="240" w:lineRule="auto"/>
              <w:jc w:val="right"/>
            </w:pPr>
            <w:r>
              <w:rPr>
                <w:sz w:val="18"/>
              </w:rPr>
              <w:t>2.738.230,18</w:t>
            </w:r>
          </w:p>
        </w:tc>
        <w:tc>
          <w:tcPr>
            <w:tcW w:w="1860" w:type="dxa"/>
            <w:tcMar>
              <w:top w:w="0" w:type="dxa"/>
              <w:bottom w:w="0" w:type="dxa"/>
            </w:tcMar>
            <w:vAlign w:val="center"/>
          </w:tcPr>
          <w:p w14:paraId="3C54D8BA" w14:textId="77777777" w:rsidR="002660AA" w:rsidRDefault="009B260F">
            <w:pPr>
              <w:keepNext/>
              <w:keepLines/>
              <w:spacing w:after="0" w:line="240" w:lineRule="auto"/>
              <w:jc w:val="right"/>
            </w:pPr>
            <w:r>
              <w:rPr>
                <w:sz w:val="18"/>
              </w:rPr>
              <w:t>1.293.851,40</w:t>
            </w:r>
          </w:p>
        </w:tc>
        <w:tc>
          <w:tcPr>
            <w:tcW w:w="700" w:type="dxa"/>
            <w:tcMar>
              <w:top w:w="0" w:type="dxa"/>
              <w:bottom w:w="0" w:type="dxa"/>
            </w:tcMar>
            <w:vAlign w:val="center"/>
          </w:tcPr>
          <w:p w14:paraId="1E0B3D2D" w14:textId="77777777" w:rsidR="002660AA" w:rsidRDefault="009B260F">
            <w:pPr>
              <w:keepNext/>
              <w:keepLines/>
              <w:spacing w:after="0" w:line="240" w:lineRule="auto"/>
              <w:jc w:val="right"/>
            </w:pPr>
            <w:r>
              <w:rPr>
                <w:sz w:val="18"/>
              </w:rPr>
              <w:t>47,3</w:t>
            </w:r>
          </w:p>
        </w:tc>
      </w:tr>
    </w:tbl>
    <w:p w14:paraId="3B9ECE26" w14:textId="77777777" w:rsidR="002660AA" w:rsidRDefault="002660AA">
      <w:pPr>
        <w:spacing w:after="0"/>
      </w:pPr>
    </w:p>
    <w:p w14:paraId="56576A7C" w14:textId="77777777" w:rsidR="002660AA" w:rsidRDefault="009B260F">
      <w:r>
        <w:t>IZDACI ZA FINANCIJSKU IMOVINU I OTPLATE ZAJMOVA  (razred 5) u 2025.  godini realizirani su u iznosu od 1.293.851,40 EUR što je za 52,7  posto manje u odnosu na 2024. godinu.</w:t>
      </w:r>
    </w:p>
    <w:p w14:paraId="729CF95A" w14:textId="77777777" w:rsidR="002660AA" w:rsidRDefault="002660AA"/>
    <w:p w14:paraId="0B16D787" w14:textId="77777777" w:rsidR="002660AA" w:rsidRDefault="009B260F">
      <w:pPr>
        <w:keepNext/>
        <w:spacing w:line="240" w:lineRule="auto"/>
        <w:jc w:val="center"/>
      </w:pPr>
      <w:r>
        <w:rPr>
          <w:sz w:val="28"/>
        </w:rPr>
        <w:t>Bilješka 103.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5FEFA7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65703D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33A8ED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885C79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F4783CA"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597A73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5F7943E" w14:textId="77777777" w:rsidR="002660AA" w:rsidRDefault="009B260F">
            <w:pPr>
              <w:keepNext/>
              <w:keepLines/>
              <w:spacing w:after="0" w:line="240" w:lineRule="auto"/>
              <w:jc w:val="center"/>
            </w:pPr>
            <w:r>
              <w:rPr>
                <w:b/>
                <w:sz w:val="18"/>
              </w:rPr>
              <w:t>Indeks (%)</w:t>
            </w:r>
          </w:p>
        </w:tc>
      </w:tr>
      <w:tr w:rsidR="002660AA" w14:paraId="412C77B9" w14:textId="77777777">
        <w:tblPrEx>
          <w:tblCellMar>
            <w:top w:w="0" w:type="dxa"/>
            <w:bottom w:w="0" w:type="dxa"/>
          </w:tblCellMar>
        </w:tblPrEx>
        <w:trPr>
          <w:cantSplit/>
          <w:trHeight w:val="560"/>
        </w:trPr>
        <w:tc>
          <w:tcPr>
            <w:tcW w:w="700" w:type="dxa"/>
            <w:tcMar>
              <w:top w:w="0" w:type="dxa"/>
              <w:bottom w:w="0" w:type="dxa"/>
            </w:tcMar>
            <w:vAlign w:val="center"/>
          </w:tcPr>
          <w:p w14:paraId="01DCAA2A" w14:textId="77777777" w:rsidR="002660AA" w:rsidRDefault="009B260F">
            <w:pPr>
              <w:keepNext/>
              <w:keepLines/>
              <w:spacing w:after="0" w:line="240" w:lineRule="auto"/>
            </w:pPr>
            <w:r>
              <w:rPr>
                <w:sz w:val="18"/>
              </w:rPr>
              <w:t>5121</w:t>
            </w:r>
          </w:p>
        </w:tc>
        <w:tc>
          <w:tcPr>
            <w:tcW w:w="3180" w:type="dxa"/>
            <w:tcMar>
              <w:top w:w="0" w:type="dxa"/>
              <w:bottom w:w="0" w:type="dxa"/>
            </w:tcMar>
            <w:vAlign w:val="center"/>
          </w:tcPr>
          <w:p w14:paraId="0978C070" w14:textId="77777777" w:rsidR="002660AA" w:rsidRDefault="009B260F">
            <w:pPr>
              <w:keepNext/>
              <w:keepLines/>
              <w:spacing w:after="0" w:line="240" w:lineRule="auto"/>
            </w:pPr>
            <w:r>
              <w:rPr>
                <w:sz w:val="18"/>
              </w:rPr>
              <w:t>Dani zajmovi neprofitnim organizacijama, građanima i kućanstvima u tuzemstvu</w:t>
            </w:r>
          </w:p>
        </w:tc>
        <w:tc>
          <w:tcPr>
            <w:tcW w:w="700" w:type="dxa"/>
            <w:tcMar>
              <w:top w:w="0" w:type="dxa"/>
              <w:bottom w:w="0" w:type="dxa"/>
            </w:tcMar>
            <w:vAlign w:val="center"/>
          </w:tcPr>
          <w:p w14:paraId="787B3E7C" w14:textId="77777777" w:rsidR="002660AA" w:rsidRDefault="009B260F">
            <w:pPr>
              <w:keepNext/>
              <w:keepLines/>
              <w:spacing w:after="0" w:line="240" w:lineRule="auto"/>
            </w:pPr>
            <w:r>
              <w:rPr>
                <w:sz w:val="18"/>
              </w:rPr>
              <w:t>5121</w:t>
            </w:r>
          </w:p>
        </w:tc>
        <w:tc>
          <w:tcPr>
            <w:tcW w:w="1860" w:type="dxa"/>
            <w:tcMar>
              <w:top w:w="0" w:type="dxa"/>
              <w:bottom w:w="0" w:type="dxa"/>
            </w:tcMar>
            <w:vAlign w:val="center"/>
          </w:tcPr>
          <w:p w14:paraId="2B191BEA" w14:textId="77777777" w:rsidR="002660AA" w:rsidRDefault="009B260F">
            <w:pPr>
              <w:keepNext/>
              <w:keepLines/>
              <w:spacing w:after="0" w:line="240" w:lineRule="auto"/>
              <w:jc w:val="right"/>
            </w:pPr>
            <w:r>
              <w:rPr>
                <w:sz w:val="18"/>
              </w:rPr>
              <w:t>320.032,57</w:t>
            </w:r>
          </w:p>
        </w:tc>
        <w:tc>
          <w:tcPr>
            <w:tcW w:w="1860" w:type="dxa"/>
            <w:tcMar>
              <w:top w:w="0" w:type="dxa"/>
              <w:bottom w:w="0" w:type="dxa"/>
            </w:tcMar>
            <w:vAlign w:val="center"/>
          </w:tcPr>
          <w:p w14:paraId="7D50BAE4" w14:textId="77777777" w:rsidR="002660AA" w:rsidRDefault="009B260F">
            <w:pPr>
              <w:keepNext/>
              <w:keepLines/>
              <w:spacing w:after="0" w:line="240" w:lineRule="auto"/>
              <w:jc w:val="right"/>
            </w:pPr>
            <w:r>
              <w:rPr>
                <w:sz w:val="18"/>
              </w:rPr>
              <w:t>414.912,36</w:t>
            </w:r>
          </w:p>
        </w:tc>
        <w:tc>
          <w:tcPr>
            <w:tcW w:w="700" w:type="dxa"/>
            <w:tcMar>
              <w:top w:w="0" w:type="dxa"/>
              <w:bottom w:w="0" w:type="dxa"/>
            </w:tcMar>
            <w:vAlign w:val="center"/>
          </w:tcPr>
          <w:p w14:paraId="1D1EC9B2" w14:textId="77777777" w:rsidR="002660AA" w:rsidRDefault="009B260F">
            <w:pPr>
              <w:keepNext/>
              <w:keepLines/>
              <w:spacing w:after="0" w:line="240" w:lineRule="auto"/>
              <w:jc w:val="right"/>
            </w:pPr>
            <w:r>
              <w:rPr>
                <w:sz w:val="18"/>
              </w:rPr>
              <w:t>129,6</w:t>
            </w:r>
          </w:p>
        </w:tc>
      </w:tr>
    </w:tbl>
    <w:p w14:paraId="61F9C7AD" w14:textId="77777777" w:rsidR="002660AA" w:rsidRDefault="002660AA">
      <w:pPr>
        <w:spacing w:after="0"/>
      </w:pPr>
    </w:p>
    <w:p w14:paraId="466E1F06" w14:textId="77777777" w:rsidR="002660AA" w:rsidRDefault="009B260F">
      <w:r>
        <w:t>Povećanje je rezultat većeg iznosa stipendija koje Grad isplaćuje studentima.</w:t>
      </w:r>
    </w:p>
    <w:p w14:paraId="09A90798" w14:textId="77777777" w:rsidR="002660AA" w:rsidRDefault="002660AA"/>
    <w:p w14:paraId="3495009A" w14:textId="77777777" w:rsidR="002660AA" w:rsidRDefault="009B260F">
      <w:pPr>
        <w:keepNext/>
        <w:spacing w:line="240" w:lineRule="auto"/>
        <w:jc w:val="center"/>
      </w:pPr>
      <w:r>
        <w:rPr>
          <w:sz w:val="28"/>
        </w:rPr>
        <w:t>Bilješka 104.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00AEE0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344D82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3244F1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2FA1A4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FCF5DE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1532D3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EFB0C11" w14:textId="77777777" w:rsidR="002660AA" w:rsidRDefault="009B260F">
            <w:pPr>
              <w:keepNext/>
              <w:keepLines/>
              <w:spacing w:after="0" w:line="240" w:lineRule="auto"/>
              <w:jc w:val="center"/>
            </w:pPr>
            <w:r>
              <w:rPr>
                <w:b/>
                <w:sz w:val="18"/>
              </w:rPr>
              <w:t>Indeks (%)</w:t>
            </w:r>
          </w:p>
        </w:tc>
      </w:tr>
      <w:tr w:rsidR="002660AA" w14:paraId="1F71C344" w14:textId="77777777">
        <w:tblPrEx>
          <w:tblCellMar>
            <w:top w:w="0" w:type="dxa"/>
            <w:bottom w:w="0" w:type="dxa"/>
          </w:tblCellMar>
        </w:tblPrEx>
        <w:trPr>
          <w:cantSplit/>
          <w:trHeight w:val="560"/>
        </w:trPr>
        <w:tc>
          <w:tcPr>
            <w:tcW w:w="700" w:type="dxa"/>
            <w:tcMar>
              <w:top w:w="0" w:type="dxa"/>
              <w:bottom w:w="0" w:type="dxa"/>
            </w:tcMar>
            <w:vAlign w:val="center"/>
          </w:tcPr>
          <w:p w14:paraId="3E59395C" w14:textId="77777777" w:rsidR="002660AA" w:rsidRDefault="009B260F">
            <w:pPr>
              <w:keepNext/>
              <w:keepLines/>
              <w:spacing w:after="0" w:line="240" w:lineRule="auto"/>
            </w:pPr>
            <w:r>
              <w:rPr>
                <w:sz w:val="18"/>
              </w:rPr>
              <w:t>514</w:t>
            </w:r>
          </w:p>
        </w:tc>
        <w:tc>
          <w:tcPr>
            <w:tcW w:w="3180" w:type="dxa"/>
            <w:tcMar>
              <w:top w:w="0" w:type="dxa"/>
              <w:bottom w:w="0" w:type="dxa"/>
            </w:tcMar>
            <w:vAlign w:val="center"/>
          </w:tcPr>
          <w:p w14:paraId="7FFA6393" w14:textId="77777777" w:rsidR="002660AA" w:rsidRDefault="009B260F">
            <w:pPr>
              <w:keepNext/>
              <w:keepLines/>
              <w:spacing w:after="0" w:line="240" w:lineRule="auto"/>
            </w:pPr>
            <w:r>
              <w:rPr>
                <w:sz w:val="18"/>
              </w:rPr>
              <w:t>Izdaci za dane zajmove trgovačkim društvima u javnom sektoru</w:t>
            </w:r>
          </w:p>
        </w:tc>
        <w:tc>
          <w:tcPr>
            <w:tcW w:w="700" w:type="dxa"/>
            <w:tcMar>
              <w:top w:w="0" w:type="dxa"/>
              <w:bottom w:w="0" w:type="dxa"/>
            </w:tcMar>
            <w:vAlign w:val="center"/>
          </w:tcPr>
          <w:p w14:paraId="43CAEE1F" w14:textId="77777777" w:rsidR="002660AA" w:rsidRDefault="009B260F">
            <w:pPr>
              <w:keepNext/>
              <w:keepLines/>
              <w:spacing w:after="0" w:line="240" w:lineRule="auto"/>
            </w:pPr>
            <w:r>
              <w:rPr>
                <w:sz w:val="18"/>
              </w:rPr>
              <w:t>514</w:t>
            </w:r>
          </w:p>
        </w:tc>
        <w:tc>
          <w:tcPr>
            <w:tcW w:w="1860" w:type="dxa"/>
            <w:tcMar>
              <w:top w:w="0" w:type="dxa"/>
              <w:bottom w:w="0" w:type="dxa"/>
            </w:tcMar>
            <w:vAlign w:val="center"/>
          </w:tcPr>
          <w:p w14:paraId="5B1DEE81" w14:textId="77777777" w:rsidR="002660AA" w:rsidRDefault="009B260F">
            <w:pPr>
              <w:keepNext/>
              <w:keepLines/>
              <w:spacing w:after="0" w:line="240" w:lineRule="auto"/>
              <w:jc w:val="right"/>
            </w:pPr>
            <w:r>
              <w:rPr>
                <w:sz w:val="18"/>
              </w:rPr>
              <w:t>13.124,35</w:t>
            </w:r>
          </w:p>
        </w:tc>
        <w:tc>
          <w:tcPr>
            <w:tcW w:w="1860" w:type="dxa"/>
            <w:tcMar>
              <w:top w:w="0" w:type="dxa"/>
              <w:bottom w:w="0" w:type="dxa"/>
            </w:tcMar>
            <w:vAlign w:val="center"/>
          </w:tcPr>
          <w:p w14:paraId="2653C380"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767FC9E8" w14:textId="77777777" w:rsidR="002660AA" w:rsidRDefault="009B260F">
            <w:pPr>
              <w:keepNext/>
              <w:keepLines/>
              <w:spacing w:after="0" w:line="240" w:lineRule="auto"/>
              <w:jc w:val="right"/>
            </w:pPr>
            <w:r>
              <w:rPr>
                <w:sz w:val="18"/>
              </w:rPr>
              <w:t>0</w:t>
            </w:r>
          </w:p>
        </w:tc>
      </w:tr>
    </w:tbl>
    <w:p w14:paraId="6A5CD673" w14:textId="77777777" w:rsidR="002660AA" w:rsidRDefault="002660AA">
      <w:pPr>
        <w:spacing w:after="0"/>
      </w:pPr>
    </w:p>
    <w:p w14:paraId="069BF650" w14:textId="77777777" w:rsidR="002660AA" w:rsidRDefault="009B260F">
      <w:r>
        <w:t>Izdaci za dane zajmove trgovačkim društvima u javnom sektoru tijekom 2025. godine ne bilježi realizaciju dok je ista 2024. godine bila 13.124,35 EUR gdje je knjižena pozajmica društvu Glas Podravine d.o.o.</w:t>
      </w:r>
    </w:p>
    <w:p w14:paraId="28450A32" w14:textId="77777777" w:rsidR="002660AA" w:rsidRDefault="009B260F">
      <w:r>
        <w:t> </w:t>
      </w:r>
    </w:p>
    <w:p w14:paraId="7BA4DD4D" w14:textId="77777777" w:rsidR="002660AA" w:rsidRDefault="002660AA"/>
    <w:p w14:paraId="7ECADB90" w14:textId="77777777" w:rsidR="002660AA" w:rsidRDefault="009B260F">
      <w:pPr>
        <w:keepNext/>
        <w:spacing w:line="240" w:lineRule="auto"/>
        <w:jc w:val="center"/>
      </w:pPr>
      <w:r>
        <w:rPr>
          <w:sz w:val="28"/>
        </w:rPr>
        <w:t>Bilješka 105.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D950D8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756289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F60C7E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EE1E3F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AF2C4DB"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E76EEC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3B26338" w14:textId="77777777" w:rsidR="002660AA" w:rsidRDefault="009B260F">
            <w:pPr>
              <w:keepNext/>
              <w:keepLines/>
              <w:spacing w:after="0" w:line="240" w:lineRule="auto"/>
              <w:jc w:val="center"/>
            </w:pPr>
            <w:r>
              <w:rPr>
                <w:b/>
                <w:sz w:val="18"/>
              </w:rPr>
              <w:t>Indeks (%)</w:t>
            </w:r>
          </w:p>
        </w:tc>
      </w:tr>
      <w:tr w:rsidR="002660AA" w14:paraId="75B2B6F0" w14:textId="77777777">
        <w:tblPrEx>
          <w:tblCellMar>
            <w:top w:w="0" w:type="dxa"/>
            <w:bottom w:w="0" w:type="dxa"/>
          </w:tblCellMar>
        </w:tblPrEx>
        <w:trPr>
          <w:cantSplit/>
          <w:trHeight w:val="560"/>
        </w:trPr>
        <w:tc>
          <w:tcPr>
            <w:tcW w:w="700" w:type="dxa"/>
            <w:tcMar>
              <w:top w:w="0" w:type="dxa"/>
              <w:bottom w:w="0" w:type="dxa"/>
            </w:tcMar>
            <w:vAlign w:val="center"/>
          </w:tcPr>
          <w:p w14:paraId="1A358229" w14:textId="77777777" w:rsidR="002660AA" w:rsidRDefault="009B260F">
            <w:pPr>
              <w:keepNext/>
              <w:keepLines/>
              <w:spacing w:after="0" w:line="240" w:lineRule="auto"/>
            </w:pPr>
            <w:r>
              <w:rPr>
                <w:sz w:val="18"/>
              </w:rPr>
              <w:t>518</w:t>
            </w:r>
          </w:p>
        </w:tc>
        <w:tc>
          <w:tcPr>
            <w:tcW w:w="3180" w:type="dxa"/>
            <w:tcMar>
              <w:top w:w="0" w:type="dxa"/>
              <w:bottom w:w="0" w:type="dxa"/>
            </w:tcMar>
            <w:vAlign w:val="center"/>
          </w:tcPr>
          <w:p w14:paraId="11CF319E" w14:textId="77777777" w:rsidR="002660AA" w:rsidRDefault="009B260F">
            <w:pPr>
              <w:keepNext/>
              <w:keepLines/>
              <w:spacing w:after="0" w:line="240" w:lineRule="auto"/>
            </w:pPr>
            <w:r>
              <w:rPr>
                <w:sz w:val="18"/>
              </w:rPr>
              <w:t>Izdaci za jamčevne pologe</w:t>
            </w:r>
          </w:p>
        </w:tc>
        <w:tc>
          <w:tcPr>
            <w:tcW w:w="700" w:type="dxa"/>
            <w:tcMar>
              <w:top w:w="0" w:type="dxa"/>
              <w:bottom w:w="0" w:type="dxa"/>
            </w:tcMar>
            <w:vAlign w:val="center"/>
          </w:tcPr>
          <w:p w14:paraId="54AF4241" w14:textId="77777777" w:rsidR="002660AA" w:rsidRDefault="009B260F">
            <w:pPr>
              <w:keepNext/>
              <w:keepLines/>
              <w:spacing w:after="0" w:line="240" w:lineRule="auto"/>
            </w:pPr>
            <w:r>
              <w:rPr>
                <w:sz w:val="18"/>
              </w:rPr>
              <w:t>518</w:t>
            </w:r>
          </w:p>
        </w:tc>
        <w:tc>
          <w:tcPr>
            <w:tcW w:w="1860" w:type="dxa"/>
            <w:tcMar>
              <w:top w:w="0" w:type="dxa"/>
              <w:bottom w:w="0" w:type="dxa"/>
            </w:tcMar>
            <w:vAlign w:val="center"/>
          </w:tcPr>
          <w:p w14:paraId="628D98DE" w14:textId="77777777" w:rsidR="002660AA" w:rsidRDefault="009B260F">
            <w:pPr>
              <w:keepNext/>
              <w:keepLines/>
              <w:spacing w:after="0" w:line="240" w:lineRule="auto"/>
              <w:jc w:val="right"/>
            </w:pPr>
            <w:r>
              <w:rPr>
                <w:sz w:val="18"/>
              </w:rPr>
              <w:t>1.500.000,00</w:t>
            </w:r>
          </w:p>
        </w:tc>
        <w:tc>
          <w:tcPr>
            <w:tcW w:w="1860" w:type="dxa"/>
            <w:tcMar>
              <w:top w:w="0" w:type="dxa"/>
              <w:bottom w:w="0" w:type="dxa"/>
            </w:tcMar>
            <w:vAlign w:val="center"/>
          </w:tcPr>
          <w:p w14:paraId="6D2E7402" w14:textId="77777777" w:rsidR="002660AA" w:rsidRDefault="009B260F">
            <w:pPr>
              <w:keepNext/>
              <w:keepLines/>
              <w:spacing w:after="0" w:line="240" w:lineRule="auto"/>
              <w:jc w:val="right"/>
            </w:pPr>
            <w:r>
              <w:rPr>
                <w:sz w:val="18"/>
              </w:rPr>
              <w:t>0,00</w:t>
            </w:r>
          </w:p>
        </w:tc>
        <w:tc>
          <w:tcPr>
            <w:tcW w:w="700" w:type="dxa"/>
            <w:tcMar>
              <w:top w:w="0" w:type="dxa"/>
              <w:bottom w:w="0" w:type="dxa"/>
            </w:tcMar>
            <w:vAlign w:val="center"/>
          </w:tcPr>
          <w:p w14:paraId="2A255821" w14:textId="77777777" w:rsidR="002660AA" w:rsidRDefault="009B260F">
            <w:pPr>
              <w:keepNext/>
              <w:keepLines/>
              <w:spacing w:after="0" w:line="240" w:lineRule="auto"/>
              <w:jc w:val="right"/>
            </w:pPr>
            <w:r>
              <w:rPr>
                <w:sz w:val="18"/>
              </w:rPr>
              <w:t>0</w:t>
            </w:r>
          </w:p>
        </w:tc>
      </w:tr>
    </w:tbl>
    <w:p w14:paraId="642103EE" w14:textId="77777777" w:rsidR="002660AA" w:rsidRDefault="002660AA">
      <w:pPr>
        <w:spacing w:after="0"/>
      </w:pPr>
    </w:p>
    <w:p w14:paraId="61A0AD48" w14:textId="77777777" w:rsidR="002660AA" w:rsidRDefault="009B260F">
      <w:r>
        <w:t>Tijekom 2024. godine grad je oročio 1.500.000,00 EUR. Izmjenom pravilnika o proračunskom računovodstvu i računskom planu konto 818 je ukinut, a razročena sredstva su tijekom 2025. godine evidentirana  u korist rezultata poslovanja.</w:t>
      </w:r>
    </w:p>
    <w:p w14:paraId="6C248B9B" w14:textId="77777777" w:rsidR="002660AA" w:rsidRDefault="002660AA"/>
    <w:p w14:paraId="510C9B17" w14:textId="77777777" w:rsidR="002660AA" w:rsidRDefault="009B260F">
      <w:pPr>
        <w:keepNext/>
        <w:spacing w:line="240" w:lineRule="auto"/>
        <w:jc w:val="center"/>
      </w:pPr>
      <w:r>
        <w:rPr>
          <w:sz w:val="28"/>
        </w:rPr>
        <w:t>Bilješka 106.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D3FA3B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BA69CD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1DBDBFD"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A936AB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472381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CDF8282"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59E8421" w14:textId="77777777" w:rsidR="002660AA" w:rsidRDefault="009B260F">
            <w:pPr>
              <w:keepNext/>
              <w:keepLines/>
              <w:spacing w:after="0" w:line="240" w:lineRule="auto"/>
              <w:jc w:val="center"/>
            </w:pPr>
            <w:r>
              <w:rPr>
                <w:b/>
                <w:sz w:val="18"/>
              </w:rPr>
              <w:t>Indeks (%)</w:t>
            </w:r>
          </w:p>
        </w:tc>
      </w:tr>
      <w:tr w:rsidR="002660AA" w14:paraId="566707A2" w14:textId="77777777">
        <w:tblPrEx>
          <w:tblCellMar>
            <w:top w:w="0" w:type="dxa"/>
            <w:bottom w:w="0" w:type="dxa"/>
          </w:tblCellMar>
        </w:tblPrEx>
        <w:trPr>
          <w:cantSplit/>
          <w:trHeight w:val="560"/>
        </w:trPr>
        <w:tc>
          <w:tcPr>
            <w:tcW w:w="700" w:type="dxa"/>
            <w:tcMar>
              <w:top w:w="0" w:type="dxa"/>
              <w:bottom w:w="0" w:type="dxa"/>
            </w:tcMar>
            <w:vAlign w:val="center"/>
          </w:tcPr>
          <w:p w14:paraId="2D790A30" w14:textId="77777777" w:rsidR="002660AA" w:rsidRDefault="009B260F">
            <w:pPr>
              <w:keepNext/>
              <w:keepLines/>
              <w:spacing w:after="0" w:line="240" w:lineRule="auto"/>
            </w:pPr>
            <w:r>
              <w:rPr>
                <w:sz w:val="18"/>
              </w:rPr>
              <w:t>5443</w:t>
            </w:r>
          </w:p>
        </w:tc>
        <w:tc>
          <w:tcPr>
            <w:tcW w:w="3180" w:type="dxa"/>
            <w:tcMar>
              <w:top w:w="0" w:type="dxa"/>
              <w:bottom w:w="0" w:type="dxa"/>
            </w:tcMar>
            <w:vAlign w:val="center"/>
          </w:tcPr>
          <w:p w14:paraId="17889155" w14:textId="77777777" w:rsidR="002660AA" w:rsidRDefault="009B260F">
            <w:pPr>
              <w:keepNext/>
              <w:keepLines/>
              <w:spacing w:after="0" w:line="240" w:lineRule="auto"/>
            </w:pPr>
            <w:r>
              <w:rPr>
                <w:sz w:val="18"/>
              </w:rPr>
              <w:t>Otplata glavnice primljenih kredita od tuzemnih kreditnih institucija izvan javnog sektora</w:t>
            </w:r>
          </w:p>
        </w:tc>
        <w:tc>
          <w:tcPr>
            <w:tcW w:w="700" w:type="dxa"/>
            <w:tcMar>
              <w:top w:w="0" w:type="dxa"/>
              <w:bottom w:w="0" w:type="dxa"/>
            </w:tcMar>
            <w:vAlign w:val="center"/>
          </w:tcPr>
          <w:p w14:paraId="6D3C1EB3" w14:textId="77777777" w:rsidR="002660AA" w:rsidRDefault="009B260F">
            <w:pPr>
              <w:keepNext/>
              <w:keepLines/>
              <w:spacing w:after="0" w:line="240" w:lineRule="auto"/>
            </w:pPr>
            <w:r>
              <w:rPr>
                <w:sz w:val="18"/>
              </w:rPr>
              <w:t>5443</w:t>
            </w:r>
          </w:p>
        </w:tc>
        <w:tc>
          <w:tcPr>
            <w:tcW w:w="1860" w:type="dxa"/>
            <w:tcMar>
              <w:top w:w="0" w:type="dxa"/>
              <w:bottom w:w="0" w:type="dxa"/>
            </w:tcMar>
            <w:vAlign w:val="center"/>
          </w:tcPr>
          <w:p w14:paraId="3672BB67" w14:textId="77777777" w:rsidR="002660AA" w:rsidRDefault="009B260F">
            <w:pPr>
              <w:keepNext/>
              <w:keepLines/>
              <w:spacing w:after="0" w:line="240" w:lineRule="auto"/>
              <w:jc w:val="right"/>
            </w:pPr>
            <w:r>
              <w:rPr>
                <w:sz w:val="18"/>
              </w:rPr>
              <w:t>905.073,26</w:t>
            </w:r>
          </w:p>
        </w:tc>
        <w:tc>
          <w:tcPr>
            <w:tcW w:w="1860" w:type="dxa"/>
            <w:tcMar>
              <w:top w:w="0" w:type="dxa"/>
              <w:bottom w:w="0" w:type="dxa"/>
            </w:tcMar>
            <w:vAlign w:val="center"/>
          </w:tcPr>
          <w:p w14:paraId="6A8C3A5A" w14:textId="77777777" w:rsidR="002660AA" w:rsidRDefault="009B260F">
            <w:pPr>
              <w:keepNext/>
              <w:keepLines/>
              <w:spacing w:after="0" w:line="240" w:lineRule="auto"/>
              <w:jc w:val="right"/>
            </w:pPr>
            <w:r>
              <w:rPr>
                <w:sz w:val="18"/>
              </w:rPr>
              <w:t>878.939,04</w:t>
            </w:r>
          </w:p>
        </w:tc>
        <w:tc>
          <w:tcPr>
            <w:tcW w:w="700" w:type="dxa"/>
            <w:tcMar>
              <w:top w:w="0" w:type="dxa"/>
              <w:bottom w:w="0" w:type="dxa"/>
            </w:tcMar>
            <w:vAlign w:val="center"/>
          </w:tcPr>
          <w:p w14:paraId="20A78A08" w14:textId="77777777" w:rsidR="002660AA" w:rsidRDefault="009B260F">
            <w:pPr>
              <w:keepNext/>
              <w:keepLines/>
              <w:spacing w:after="0" w:line="240" w:lineRule="auto"/>
              <w:jc w:val="right"/>
            </w:pPr>
            <w:r>
              <w:rPr>
                <w:sz w:val="18"/>
              </w:rPr>
              <w:t>97,1</w:t>
            </w:r>
          </w:p>
        </w:tc>
      </w:tr>
    </w:tbl>
    <w:p w14:paraId="499CAA91" w14:textId="77777777" w:rsidR="002660AA" w:rsidRDefault="002660AA">
      <w:pPr>
        <w:spacing w:after="0"/>
      </w:pPr>
    </w:p>
    <w:p w14:paraId="1A4858EA" w14:textId="77777777" w:rsidR="002660AA" w:rsidRDefault="009B260F">
      <w:r>
        <w:t>Otplata glavnice primljenih kredita od tuzemnih kreditnih institucija izvan javnog sektora bilježi manju realizaciju od one utvrđene 2024. godine. Ista se realizirala u iznosu od 878.939,04 EUR. Iznos je manji u odnosu na 2024. godinu jer se tijekom 2024. godine izvršio povrat neutrošenog dijela kredita HBOR-u u projektu rekonstrukcije javne rasvjete. </w:t>
      </w:r>
    </w:p>
    <w:p w14:paraId="6487D37C" w14:textId="77777777" w:rsidR="002660AA" w:rsidRDefault="009B260F">
      <w:r>
        <w:t> </w:t>
      </w:r>
    </w:p>
    <w:p w14:paraId="49C92B04" w14:textId="77777777" w:rsidR="002660AA" w:rsidRDefault="002660AA"/>
    <w:p w14:paraId="458412AB" w14:textId="77777777" w:rsidR="002660AA" w:rsidRDefault="009B260F">
      <w:pPr>
        <w:keepNext/>
        <w:spacing w:line="240" w:lineRule="auto"/>
        <w:jc w:val="center"/>
      </w:pPr>
      <w:r>
        <w:rPr>
          <w:b/>
          <w:sz w:val="28"/>
        </w:rPr>
        <w:t>Bilanca</w:t>
      </w:r>
    </w:p>
    <w:p w14:paraId="76CCF845" w14:textId="77777777" w:rsidR="002660AA" w:rsidRDefault="009B260F">
      <w:pPr>
        <w:keepNext/>
        <w:spacing w:line="240" w:lineRule="auto"/>
        <w:jc w:val="center"/>
      </w:pPr>
      <w:r>
        <w:rPr>
          <w:sz w:val="28"/>
        </w:rPr>
        <w:t>Bilješka 107.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139907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05D5A3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85AC03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C8D5F8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961AC0"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78D22BF"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7C7AE1E9" w14:textId="77777777" w:rsidR="002660AA" w:rsidRDefault="009B260F">
            <w:pPr>
              <w:keepNext/>
              <w:keepLines/>
              <w:spacing w:after="0" w:line="240" w:lineRule="auto"/>
              <w:jc w:val="center"/>
            </w:pPr>
            <w:r>
              <w:rPr>
                <w:b/>
                <w:sz w:val="18"/>
              </w:rPr>
              <w:t>Indeks (%)</w:t>
            </w:r>
          </w:p>
        </w:tc>
      </w:tr>
      <w:tr w:rsidR="002660AA" w14:paraId="3F3D398E" w14:textId="77777777">
        <w:tblPrEx>
          <w:tblCellMar>
            <w:top w:w="0" w:type="dxa"/>
            <w:bottom w:w="0" w:type="dxa"/>
          </w:tblCellMar>
        </w:tblPrEx>
        <w:trPr>
          <w:cantSplit/>
          <w:trHeight w:val="560"/>
        </w:trPr>
        <w:tc>
          <w:tcPr>
            <w:tcW w:w="700" w:type="dxa"/>
            <w:tcMar>
              <w:top w:w="0" w:type="dxa"/>
              <w:bottom w:w="0" w:type="dxa"/>
            </w:tcMar>
            <w:vAlign w:val="center"/>
          </w:tcPr>
          <w:p w14:paraId="686829ED" w14:textId="77777777" w:rsidR="002660AA" w:rsidRDefault="002660AA">
            <w:pPr>
              <w:keepNext/>
              <w:keepLines/>
              <w:spacing w:after="0" w:line="240" w:lineRule="auto"/>
            </w:pPr>
          </w:p>
        </w:tc>
        <w:tc>
          <w:tcPr>
            <w:tcW w:w="3180" w:type="dxa"/>
            <w:tcMar>
              <w:top w:w="0" w:type="dxa"/>
              <w:bottom w:w="0" w:type="dxa"/>
            </w:tcMar>
            <w:vAlign w:val="center"/>
          </w:tcPr>
          <w:p w14:paraId="7F1D5D3C" w14:textId="77777777" w:rsidR="002660AA" w:rsidRDefault="009B260F">
            <w:pPr>
              <w:keepNext/>
              <w:keepLines/>
              <w:spacing w:after="0" w:line="240" w:lineRule="auto"/>
            </w:pPr>
            <w:r>
              <w:rPr>
                <w:sz w:val="18"/>
              </w:rPr>
              <w:t>IMOVINA (šifre B002+1)</w:t>
            </w:r>
          </w:p>
        </w:tc>
        <w:tc>
          <w:tcPr>
            <w:tcW w:w="700" w:type="dxa"/>
            <w:tcMar>
              <w:top w:w="0" w:type="dxa"/>
              <w:bottom w:w="0" w:type="dxa"/>
            </w:tcMar>
            <w:vAlign w:val="center"/>
          </w:tcPr>
          <w:p w14:paraId="248EB578" w14:textId="77777777" w:rsidR="002660AA" w:rsidRDefault="009B260F">
            <w:pPr>
              <w:keepNext/>
              <w:keepLines/>
              <w:spacing w:after="0" w:line="240" w:lineRule="auto"/>
            </w:pPr>
            <w:r>
              <w:rPr>
                <w:sz w:val="18"/>
              </w:rPr>
              <w:t>B001</w:t>
            </w:r>
          </w:p>
        </w:tc>
        <w:tc>
          <w:tcPr>
            <w:tcW w:w="1860" w:type="dxa"/>
            <w:tcMar>
              <w:top w:w="0" w:type="dxa"/>
              <w:bottom w:w="0" w:type="dxa"/>
            </w:tcMar>
            <w:vAlign w:val="center"/>
          </w:tcPr>
          <w:p w14:paraId="11D47B03" w14:textId="77777777" w:rsidR="002660AA" w:rsidRDefault="009B260F">
            <w:pPr>
              <w:keepNext/>
              <w:keepLines/>
              <w:spacing w:after="0" w:line="240" w:lineRule="auto"/>
              <w:jc w:val="right"/>
            </w:pPr>
            <w:r>
              <w:rPr>
                <w:sz w:val="18"/>
              </w:rPr>
              <w:t>140.257.746,64</w:t>
            </w:r>
          </w:p>
        </w:tc>
        <w:tc>
          <w:tcPr>
            <w:tcW w:w="1860" w:type="dxa"/>
            <w:tcMar>
              <w:top w:w="0" w:type="dxa"/>
              <w:bottom w:w="0" w:type="dxa"/>
            </w:tcMar>
            <w:vAlign w:val="center"/>
          </w:tcPr>
          <w:p w14:paraId="1F7FE155" w14:textId="77777777" w:rsidR="002660AA" w:rsidRDefault="009B260F">
            <w:pPr>
              <w:keepNext/>
              <w:keepLines/>
              <w:spacing w:after="0" w:line="240" w:lineRule="auto"/>
              <w:jc w:val="right"/>
            </w:pPr>
            <w:r>
              <w:rPr>
                <w:sz w:val="18"/>
              </w:rPr>
              <w:t>160.331.096,51</w:t>
            </w:r>
          </w:p>
        </w:tc>
        <w:tc>
          <w:tcPr>
            <w:tcW w:w="700" w:type="dxa"/>
            <w:tcMar>
              <w:top w:w="0" w:type="dxa"/>
              <w:bottom w:w="0" w:type="dxa"/>
            </w:tcMar>
            <w:vAlign w:val="center"/>
          </w:tcPr>
          <w:p w14:paraId="07F4390C" w14:textId="77777777" w:rsidR="002660AA" w:rsidRDefault="009B260F">
            <w:pPr>
              <w:keepNext/>
              <w:keepLines/>
              <w:spacing w:after="0" w:line="240" w:lineRule="auto"/>
              <w:jc w:val="right"/>
            </w:pPr>
            <w:r>
              <w:rPr>
                <w:sz w:val="18"/>
              </w:rPr>
              <w:t>114,3</w:t>
            </w:r>
          </w:p>
        </w:tc>
      </w:tr>
    </w:tbl>
    <w:p w14:paraId="2AD5DF45" w14:textId="77777777" w:rsidR="002660AA" w:rsidRDefault="002660AA">
      <w:pPr>
        <w:spacing w:after="0"/>
      </w:pPr>
    </w:p>
    <w:p w14:paraId="69E31602" w14:textId="77777777" w:rsidR="002660AA" w:rsidRDefault="009B260F">
      <w:r>
        <w:t xml:space="preserve">Ukupna imovina Grada Koprivnice evidentirana u Bilanci na dan 31. prosinca 2025. godine iznosi 160.331.096,51 EUR te je u odnosu na stanje na dan 1. siječnja 2025. godine nominalno veća za 20.073.349,87 EUR. Od ukupne imovine, nefinancijska imovina (zemljišta, građevinski objekti, postrojenja i oprema te ostala dugotrajna imovina) evidentirana je u iznosu od 126.242.451,63 EUR, dok je financijska imovina (novčana sredstva, depoziti, zajmovi, vrijednosni papiri te dionice i udjeli u glavnici) evidentirana u </w:t>
      </w:r>
      <w:r>
        <w:t>iznosu od 34.088.644,88 EUR.</w:t>
      </w:r>
    </w:p>
    <w:p w14:paraId="47D0308E" w14:textId="77777777" w:rsidR="002660AA" w:rsidRDefault="002660AA"/>
    <w:p w14:paraId="18E38BA8" w14:textId="77777777" w:rsidR="002660AA" w:rsidRDefault="009B260F">
      <w:pPr>
        <w:keepNext/>
        <w:spacing w:line="240" w:lineRule="auto"/>
        <w:jc w:val="center"/>
      </w:pPr>
      <w:r>
        <w:rPr>
          <w:sz w:val="28"/>
        </w:rPr>
        <w:t>Bilješka 108.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644BB4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C717E3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9045AE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71F1B1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F601C47"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529831E"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497FFFF" w14:textId="77777777" w:rsidR="002660AA" w:rsidRDefault="009B260F">
            <w:pPr>
              <w:keepNext/>
              <w:keepLines/>
              <w:spacing w:after="0" w:line="240" w:lineRule="auto"/>
              <w:jc w:val="center"/>
            </w:pPr>
            <w:r>
              <w:rPr>
                <w:b/>
                <w:sz w:val="18"/>
              </w:rPr>
              <w:t>Indeks (%)</w:t>
            </w:r>
          </w:p>
        </w:tc>
      </w:tr>
      <w:tr w:rsidR="002660AA" w14:paraId="4653CC7E" w14:textId="77777777">
        <w:tblPrEx>
          <w:tblCellMar>
            <w:top w:w="0" w:type="dxa"/>
            <w:bottom w:w="0" w:type="dxa"/>
          </w:tblCellMar>
        </w:tblPrEx>
        <w:trPr>
          <w:cantSplit/>
          <w:trHeight w:val="560"/>
        </w:trPr>
        <w:tc>
          <w:tcPr>
            <w:tcW w:w="700" w:type="dxa"/>
            <w:tcMar>
              <w:top w:w="0" w:type="dxa"/>
              <w:bottom w:w="0" w:type="dxa"/>
            </w:tcMar>
            <w:vAlign w:val="center"/>
          </w:tcPr>
          <w:p w14:paraId="05D1138C" w14:textId="77777777" w:rsidR="002660AA" w:rsidRDefault="009B260F">
            <w:pPr>
              <w:keepNext/>
              <w:keepLines/>
              <w:spacing w:after="0" w:line="240" w:lineRule="auto"/>
            </w:pPr>
            <w:r>
              <w:rPr>
                <w:sz w:val="18"/>
              </w:rPr>
              <w:t>012</w:t>
            </w:r>
          </w:p>
        </w:tc>
        <w:tc>
          <w:tcPr>
            <w:tcW w:w="3180" w:type="dxa"/>
            <w:tcMar>
              <w:top w:w="0" w:type="dxa"/>
              <w:bottom w:w="0" w:type="dxa"/>
            </w:tcMar>
            <w:vAlign w:val="center"/>
          </w:tcPr>
          <w:p w14:paraId="40E78E4B" w14:textId="77777777" w:rsidR="002660AA" w:rsidRDefault="009B260F">
            <w:pPr>
              <w:keepNext/>
              <w:keepLines/>
              <w:spacing w:after="0" w:line="240" w:lineRule="auto"/>
            </w:pPr>
            <w:r>
              <w:rPr>
                <w:sz w:val="18"/>
              </w:rPr>
              <w:t>Nematerijalna imovina</w:t>
            </w:r>
          </w:p>
        </w:tc>
        <w:tc>
          <w:tcPr>
            <w:tcW w:w="700" w:type="dxa"/>
            <w:tcMar>
              <w:top w:w="0" w:type="dxa"/>
              <w:bottom w:w="0" w:type="dxa"/>
            </w:tcMar>
            <w:vAlign w:val="center"/>
          </w:tcPr>
          <w:p w14:paraId="0E4AA213" w14:textId="77777777" w:rsidR="002660AA" w:rsidRDefault="009B260F">
            <w:pPr>
              <w:keepNext/>
              <w:keepLines/>
              <w:spacing w:after="0" w:line="240" w:lineRule="auto"/>
            </w:pPr>
            <w:r>
              <w:rPr>
                <w:sz w:val="18"/>
              </w:rPr>
              <w:t>012</w:t>
            </w:r>
          </w:p>
        </w:tc>
        <w:tc>
          <w:tcPr>
            <w:tcW w:w="1860" w:type="dxa"/>
            <w:tcMar>
              <w:top w:w="0" w:type="dxa"/>
              <w:bottom w:w="0" w:type="dxa"/>
            </w:tcMar>
            <w:vAlign w:val="center"/>
          </w:tcPr>
          <w:p w14:paraId="603869AC" w14:textId="77777777" w:rsidR="002660AA" w:rsidRDefault="009B260F">
            <w:pPr>
              <w:keepNext/>
              <w:keepLines/>
              <w:spacing w:after="0" w:line="240" w:lineRule="auto"/>
              <w:jc w:val="right"/>
            </w:pPr>
            <w:r>
              <w:rPr>
                <w:sz w:val="18"/>
              </w:rPr>
              <w:t>1.694.327,47</w:t>
            </w:r>
          </w:p>
        </w:tc>
        <w:tc>
          <w:tcPr>
            <w:tcW w:w="1860" w:type="dxa"/>
            <w:tcMar>
              <w:top w:w="0" w:type="dxa"/>
              <w:bottom w:w="0" w:type="dxa"/>
            </w:tcMar>
            <w:vAlign w:val="center"/>
          </w:tcPr>
          <w:p w14:paraId="6F3AE338" w14:textId="77777777" w:rsidR="002660AA" w:rsidRDefault="009B260F">
            <w:pPr>
              <w:keepNext/>
              <w:keepLines/>
              <w:spacing w:after="0" w:line="240" w:lineRule="auto"/>
              <w:jc w:val="right"/>
            </w:pPr>
            <w:r>
              <w:rPr>
                <w:sz w:val="18"/>
              </w:rPr>
              <w:t>1.564.074,42</w:t>
            </w:r>
          </w:p>
        </w:tc>
        <w:tc>
          <w:tcPr>
            <w:tcW w:w="700" w:type="dxa"/>
            <w:tcMar>
              <w:top w:w="0" w:type="dxa"/>
              <w:bottom w:w="0" w:type="dxa"/>
            </w:tcMar>
            <w:vAlign w:val="center"/>
          </w:tcPr>
          <w:p w14:paraId="412BBF39" w14:textId="77777777" w:rsidR="002660AA" w:rsidRDefault="009B260F">
            <w:pPr>
              <w:keepNext/>
              <w:keepLines/>
              <w:spacing w:after="0" w:line="240" w:lineRule="auto"/>
              <w:jc w:val="right"/>
            </w:pPr>
            <w:r>
              <w:rPr>
                <w:sz w:val="18"/>
              </w:rPr>
              <w:t>92,3</w:t>
            </w:r>
          </w:p>
        </w:tc>
      </w:tr>
    </w:tbl>
    <w:p w14:paraId="17D8CF00" w14:textId="77777777" w:rsidR="002660AA" w:rsidRDefault="002660AA">
      <w:pPr>
        <w:spacing w:after="0"/>
      </w:pPr>
    </w:p>
    <w:p w14:paraId="7389E294" w14:textId="77777777" w:rsidR="002660AA" w:rsidRDefault="009B260F">
      <w:r>
        <w:t>Podskupina 012 - Nematerijalna imovina bilježi smanjenje od 7,7 % u odnosu na prethodnu godinu. Smanjenje vrijednosti rezultat je provedenih isknjiženja temeljem inventure i prodaje imovine, kao i preknjižbi unutar razreda 0 radi ispravnog evidentiranja i usklađenja analitičkih konta.</w:t>
      </w:r>
    </w:p>
    <w:p w14:paraId="0BC62EB8" w14:textId="77777777" w:rsidR="002660AA" w:rsidRDefault="002660AA"/>
    <w:p w14:paraId="4CFB127F" w14:textId="77777777" w:rsidR="002660AA" w:rsidRDefault="009B260F">
      <w:pPr>
        <w:keepNext/>
        <w:spacing w:line="240" w:lineRule="auto"/>
        <w:jc w:val="center"/>
      </w:pPr>
      <w:r>
        <w:rPr>
          <w:sz w:val="28"/>
        </w:rPr>
        <w:t>Bilješka 109.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384366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701812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FC5A2E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C06F53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1FA50DF"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AFD2139"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BF079F9" w14:textId="77777777" w:rsidR="002660AA" w:rsidRDefault="009B260F">
            <w:pPr>
              <w:keepNext/>
              <w:keepLines/>
              <w:spacing w:after="0" w:line="240" w:lineRule="auto"/>
              <w:jc w:val="center"/>
            </w:pPr>
            <w:r>
              <w:rPr>
                <w:b/>
                <w:sz w:val="18"/>
              </w:rPr>
              <w:t>Indeks (%)</w:t>
            </w:r>
          </w:p>
        </w:tc>
      </w:tr>
      <w:tr w:rsidR="002660AA" w14:paraId="00EC21D5" w14:textId="77777777">
        <w:tblPrEx>
          <w:tblCellMar>
            <w:top w:w="0" w:type="dxa"/>
            <w:bottom w:w="0" w:type="dxa"/>
          </w:tblCellMar>
        </w:tblPrEx>
        <w:trPr>
          <w:cantSplit/>
          <w:trHeight w:val="560"/>
        </w:trPr>
        <w:tc>
          <w:tcPr>
            <w:tcW w:w="700" w:type="dxa"/>
            <w:tcMar>
              <w:top w:w="0" w:type="dxa"/>
              <w:bottom w:w="0" w:type="dxa"/>
            </w:tcMar>
            <w:vAlign w:val="center"/>
          </w:tcPr>
          <w:p w14:paraId="7226D072" w14:textId="77777777" w:rsidR="002660AA" w:rsidRDefault="009B260F">
            <w:pPr>
              <w:keepNext/>
              <w:keepLines/>
              <w:spacing w:after="0" w:line="240" w:lineRule="auto"/>
            </w:pPr>
            <w:r>
              <w:rPr>
                <w:sz w:val="18"/>
              </w:rPr>
              <w:t>019</w:t>
            </w:r>
          </w:p>
        </w:tc>
        <w:tc>
          <w:tcPr>
            <w:tcW w:w="3180" w:type="dxa"/>
            <w:tcMar>
              <w:top w:w="0" w:type="dxa"/>
              <w:bottom w:w="0" w:type="dxa"/>
            </w:tcMar>
            <w:vAlign w:val="center"/>
          </w:tcPr>
          <w:p w14:paraId="5617A1DE" w14:textId="77777777" w:rsidR="002660AA" w:rsidRDefault="009B260F">
            <w:pPr>
              <w:keepNext/>
              <w:keepLines/>
              <w:spacing w:after="0" w:line="240" w:lineRule="auto"/>
            </w:pPr>
            <w:r>
              <w:rPr>
                <w:sz w:val="18"/>
              </w:rPr>
              <w:t>Ispravak vrijednosti neproizvedene dugotrajne imovine</w:t>
            </w:r>
          </w:p>
        </w:tc>
        <w:tc>
          <w:tcPr>
            <w:tcW w:w="700" w:type="dxa"/>
            <w:tcMar>
              <w:top w:w="0" w:type="dxa"/>
              <w:bottom w:w="0" w:type="dxa"/>
            </w:tcMar>
            <w:vAlign w:val="center"/>
          </w:tcPr>
          <w:p w14:paraId="63A9B69C" w14:textId="77777777" w:rsidR="002660AA" w:rsidRDefault="009B260F">
            <w:pPr>
              <w:keepNext/>
              <w:keepLines/>
              <w:spacing w:after="0" w:line="240" w:lineRule="auto"/>
            </w:pPr>
            <w:r>
              <w:rPr>
                <w:sz w:val="18"/>
              </w:rPr>
              <w:t>019</w:t>
            </w:r>
          </w:p>
        </w:tc>
        <w:tc>
          <w:tcPr>
            <w:tcW w:w="1860" w:type="dxa"/>
            <w:tcMar>
              <w:top w:w="0" w:type="dxa"/>
              <w:bottom w:w="0" w:type="dxa"/>
            </w:tcMar>
            <w:vAlign w:val="center"/>
          </w:tcPr>
          <w:p w14:paraId="00CF6D45" w14:textId="77777777" w:rsidR="002660AA" w:rsidRDefault="009B260F">
            <w:pPr>
              <w:keepNext/>
              <w:keepLines/>
              <w:spacing w:after="0" w:line="240" w:lineRule="auto"/>
              <w:jc w:val="right"/>
            </w:pPr>
            <w:r>
              <w:rPr>
                <w:sz w:val="18"/>
              </w:rPr>
              <w:t>503.130,87</w:t>
            </w:r>
          </w:p>
        </w:tc>
        <w:tc>
          <w:tcPr>
            <w:tcW w:w="1860" w:type="dxa"/>
            <w:tcMar>
              <w:top w:w="0" w:type="dxa"/>
              <w:bottom w:w="0" w:type="dxa"/>
            </w:tcMar>
            <w:vAlign w:val="center"/>
          </w:tcPr>
          <w:p w14:paraId="309FA771" w14:textId="77777777" w:rsidR="002660AA" w:rsidRDefault="009B260F">
            <w:pPr>
              <w:keepNext/>
              <w:keepLines/>
              <w:spacing w:after="0" w:line="240" w:lineRule="auto"/>
              <w:jc w:val="right"/>
            </w:pPr>
            <w:r>
              <w:rPr>
                <w:sz w:val="18"/>
              </w:rPr>
              <w:t>392.083,73</w:t>
            </w:r>
          </w:p>
        </w:tc>
        <w:tc>
          <w:tcPr>
            <w:tcW w:w="700" w:type="dxa"/>
            <w:tcMar>
              <w:top w:w="0" w:type="dxa"/>
              <w:bottom w:w="0" w:type="dxa"/>
            </w:tcMar>
            <w:vAlign w:val="center"/>
          </w:tcPr>
          <w:p w14:paraId="77E75671" w14:textId="77777777" w:rsidR="002660AA" w:rsidRDefault="009B260F">
            <w:pPr>
              <w:keepNext/>
              <w:keepLines/>
              <w:spacing w:after="0" w:line="240" w:lineRule="auto"/>
              <w:jc w:val="right"/>
            </w:pPr>
            <w:r>
              <w:rPr>
                <w:sz w:val="18"/>
              </w:rPr>
              <w:t>77,9</w:t>
            </w:r>
          </w:p>
        </w:tc>
      </w:tr>
    </w:tbl>
    <w:p w14:paraId="7DDA8C1E" w14:textId="77777777" w:rsidR="002660AA" w:rsidRDefault="002660AA">
      <w:pPr>
        <w:spacing w:after="0"/>
      </w:pPr>
    </w:p>
    <w:p w14:paraId="443E4D64" w14:textId="77777777" w:rsidR="002660AA" w:rsidRDefault="009B260F">
      <w:r>
        <w:t>Podskupina 019 - Ispravak vrijednosti neproizvedene dugotrajne imovine bilježi indeks od 77,9 u odnosu na 2024. godinu. Smanjenje vrijednosti rezultat je provedbe usklađenja evidencija, uključujući prijenose inventarnih brojeva unutar analitičkih konta radi točnog evidentiranja imovine.</w:t>
      </w:r>
    </w:p>
    <w:p w14:paraId="252BC953" w14:textId="77777777" w:rsidR="002660AA" w:rsidRDefault="002660AA"/>
    <w:p w14:paraId="1BD74062" w14:textId="77777777" w:rsidR="002660AA" w:rsidRDefault="009B260F">
      <w:pPr>
        <w:keepNext/>
        <w:spacing w:line="240" w:lineRule="auto"/>
        <w:jc w:val="center"/>
      </w:pPr>
      <w:r>
        <w:rPr>
          <w:sz w:val="28"/>
        </w:rPr>
        <w:t>Bilješka 110.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409523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BCDB12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D126FA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7511F0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E1FF11D"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A71A766"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52FC0EF" w14:textId="77777777" w:rsidR="002660AA" w:rsidRDefault="009B260F">
            <w:pPr>
              <w:keepNext/>
              <w:keepLines/>
              <w:spacing w:after="0" w:line="240" w:lineRule="auto"/>
              <w:jc w:val="center"/>
            </w:pPr>
            <w:r>
              <w:rPr>
                <w:b/>
                <w:sz w:val="18"/>
              </w:rPr>
              <w:t>Indeks (%)</w:t>
            </w:r>
          </w:p>
        </w:tc>
      </w:tr>
      <w:tr w:rsidR="002660AA" w14:paraId="66488E90" w14:textId="77777777">
        <w:tblPrEx>
          <w:tblCellMar>
            <w:top w:w="0" w:type="dxa"/>
            <w:bottom w:w="0" w:type="dxa"/>
          </w:tblCellMar>
        </w:tblPrEx>
        <w:trPr>
          <w:cantSplit/>
          <w:trHeight w:val="560"/>
        </w:trPr>
        <w:tc>
          <w:tcPr>
            <w:tcW w:w="700" w:type="dxa"/>
            <w:tcMar>
              <w:top w:w="0" w:type="dxa"/>
              <w:bottom w:w="0" w:type="dxa"/>
            </w:tcMar>
            <w:vAlign w:val="center"/>
          </w:tcPr>
          <w:p w14:paraId="44A4B797" w14:textId="77777777" w:rsidR="002660AA" w:rsidRDefault="009B260F">
            <w:pPr>
              <w:keepNext/>
              <w:keepLines/>
              <w:spacing w:after="0" w:line="240" w:lineRule="auto"/>
            </w:pPr>
            <w:r>
              <w:rPr>
                <w:sz w:val="18"/>
              </w:rPr>
              <w:t>0212</w:t>
            </w:r>
          </w:p>
        </w:tc>
        <w:tc>
          <w:tcPr>
            <w:tcW w:w="3180" w:type="dxa"/>
            <w:tcMar>
              <w:top w:w="0" w:type="dxa"/>
              <w:bottom w:w="0" w:type="dxa"/>
            </w:tcMar>
            <w:vAlign w:val="center"/>
          </w:tcPr>
          <w:p w14:paraId="7E23F5FE" w14:textId="77777777" w:rsidR="002660AA" w:rsidRDefault="009B260F">
            <w:pPr>
              <w:keepNext/>
              <w:keepLines/>
              <w:spacing w:after="0" w:line="240" w:lineRule="auto"/>
            </w:pPr>
            <w:r>
              <w:rPr>
                <w:sz w:val="18"/>
              </w:rPr>
              <w:t>Poslovni objekti</w:t>
            </w:r>
          </w:p>
        </w:tc>
        <w:tc>
          <w:tcPr>
            <w:tcW w:w="700" w:type="dxa"/>
            <w:tcMar>
              <w:top w:w="0" w:type="dxa"/>
              <w:bottom w:w="0" w:type="dxa"/>
            </w:tcMar>
            <w:vAlign w:val="center"/>
          </w:tcPr>
          <w:p w14:paraId="44A0FED2" w14:textId="77777777" w:rsidR="002660AA" w:rsidRDefault="009B260F">
            <w:pPr>
              <w:keepNext/>
              <w:keepLines/>
              <w:spacing w:after="0" w:line="240" w:lineRule="auto"/>
            </w:pPr>
            <w:r>
              <w:rPr>
                <w:sz w:val="18"/>
              </w:rPr>
              <w:t>0212</w:t>
            </w:r>
          </w:p>
        </w:tc>
        <w:tc>
          <w:tcPr>
            <w:tcW w:w="1860" w:type="dxa"/>
            <w:tcMar>
              <w:top w:w="0" w:type="dxa"/>
              <w:bottom w:w="0" w:type="dxa"/>
            </w:tcMar>
            <w:vAlign w:val="center"/>
          </w:tcPr>
          <w:p w14:paraId="6F5C8757" w14:textId="77777777" w:rsidR="002660AA" w:rsidRDefault="009B260F">
            <w:pPr>
              <w:keepNext/>
              <w:keepLines/>
              <w:spacing w:after="0" w:line="240" w:lineRule="auto"/>
              <w:jc w:val="right"/>
            </w:pPr>
            <w:r>
              <w:rPr>
                <w:sz w:val="18"/>
              </w:rPr>
              <w:t>41.115.978,30</w:t>
            </w:r>
          </w:p>
        </w:tc>
        <w:tc>
          <w:tcPr>
            <w:tcW w:w="1860" w:type="dxa"/>
            <w:tcMar>
              <w:top w:w="0" w:type="dxa"/>
              <w:bottom w:w="0" w:type="dxa"/>
            </w:tcMar>
            <w:vAlign w:val="center"/>
          </w:tcPr>
          <w:p w14:paraId="4BC118A1" w14:textId="77777777" w:rsidR="002660AA" w:rsidRDefault="009B260F">
            <w:pPr>
              <w:keepNext/>
              <w:keepLines/>
              <w:spacing w:after="0" w:line="240" w:lineRule="auto"/>
              <w:jc w:val="right"/>
            </w:pPr>
            <w:r>
              <w:rPr>
                <w:sz w:val="18"/>
              </w:rPr>
              <w:t>47.368.729,77</w:t>
            </w:r>
          </w:p>
        </w:tc>
        <w:tc>
          <w:tcPr>
            <w:tcW w:w="700" w:type="dxa"/>
            <w:tcMar>
              <w:top w:w="0" w:type="dxa"/>
              <w:bottom w:w="0" w:type="dxa"/>
            </w:tcMar>
            <w:vAlign w:val="center"/>
          </w:tcPr>
          <w:p w14:paraId="49DAB46D" w14:textId="77777777" w:rsidR="002660AA" w:rsidRDefault="009B260F">
            <w:pPr>
              <w:keepNext/>
              <w:keepLines/>
              <w:spacing w:after="0" w:line="240" w:lineRule="auto"/>
              <w:jc w:val="right"/>
            </w:pPr>
            <w:r>
              <w:rPr>
                <w:sz w:val="18"/>
              </w:rPr>
              <w:t>115,2</w:t>
            </w:r>
          </w:p>
        </w:tc>
      </w:tr>
    </w:tbl>
    <w:p w14:paraId="089229C5" w14:textId="77777777" w:rsidR="002660AA" w:rsidRDefault="002660AA">
      <w:pPr>
        <w:spacing w:after="0"/>
      </w:pPr>
    </w:p>
    <w:p w14:paraId="6A591CEA" w14:textId="77777777" w:rsidR="002660AA" w:rsidRDefault="009B260F">
      <w:r>
        <w:t>Podskupina 0212 - Poslovni objekti u 2025. godini ostvarena je u iznosu od 47.368.729,77 EUR, uz indeks od 115,2 u odnosu na 2024. godinu. Povećanje vrijednosti rezultat je prijenosa imovine u uporabu za objekt Dječji vrtić „Medenjak“.</w:t>
      </w:r>
    </w:p>
    <w:p w14:paraId="77B73F9B" w14:textId="77777777" w:rsidR="002660AA" w:rsidRDefault="002660AA"/>
    <w:p w14:paraId="4C100E26" w14:textId="77777777" w:rsidR="002660AA" w:rsidRDefault="009B260F">
      <w:pPr>
        <w:keepNext/>
        <w:spacing w:line="240" w:lineRule="auto"/>
        <w:jc w:val="center"/>
      </w:pPr>
      <w:r>
        <w:rPr>
          <w:sz w:val="28"/>
        </w:rPr>
        <w:t>Bilješka 111.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77A0D3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EFBB6E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9A563E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8F5C16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7084569"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035B9634"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B9E002F" w14:textId="77777777" w:rsidR="002660AA" w:rsidRDefault="009B260F">
            <w:pPr>
              <w:keepNext/>
              <w:keepLines/>
              <w:spacing w:after="0" w:line="240" w:lineRule="auto"/>
              <w:jc w:val="center"/>
            </w:pPr>
            <w:r>
              <w:rPr>
                <w:b/>
                <w:sz w:val="18"/>
              </w:rPr>
              <w:t>Indeks (%)</w:t>
            </w:r>
          </w:p>
        </w:tc>
      </w:tr>
      <w:tr w:rsidR="002660AA" w14:paraId="60E6A396" w14:textId="77777777">
        <w:tblPrEx>
          <w:tblCellMar>
            <w:top w:w="0" w:type="dxa"/>
            <w:bottom w:w="0" w:type="dxa"/>
          </w:tblCellMar>
        </w:tblPrEx>
        <w:trPr>
          <w:cantSplit/>
          <w:trHeight w:val="560"/>
        </w:trPr>
        <w:tc>
          <w:tcPr>
            <w:tcW w:w="700" w:type="dxa"/>
            <w:tcMar>
              <w:top w:w="0" w:type="dxa"/>
              <w:bottom w:w="0" w:type="dxa"/>
            </w:tcMar>
            <w:vAlign w:val="center"/>
          </w:tcPr>
          <w:p w14:paraId="105A312E" w14:textId="77777777" w:rsidR="002660AA" w:rsidRDefault="009B260F">
            <w:pPr>
              <w:keepNext/>
              <w:keepLines/>
              <w:spacing w:after="0" w:line="240" w:lineRule="auto"/>
            </w:pPr>
            <w:r>
              <w:rPr>
                <w:sz w:val="18"/>
              </w:rPr>
              <w:t>0213</w:t>
            </w:r>
          </w:p>
        </w:tc>
        <w:tc>
          <w:tcPr>
            <w:tcW w:w="3180" w:type="dxa"/>
            <w:tcMar>
              <w:top w:w="0" w:type="dxa"/>
              <w:bottom w:w="0" w:type="dxa"/>
            </w:tcMar>
            <w:vAlign w:val="center"/>
          </w:tcPr>
          <w:p w14:paraId="6F1D73A5" w14:textId="77777777" w:rsidR="002660AA" w:rsidRDefault="009B260F">
            <w:pPr>
              <w:keepNext/>
              <w:keepLines/>
              <w:spacing w:after="0" w:line="240" w:lineRule="auto"/>
            </w:pPr>
            <w:r>
              <w:rPr>
                <w:sz w:val="18"/>
              </w:rPr>
              <w:t>Ceste, željeznice i ostali prometni objekti</w:t>
            </w:r>
          </w:p>
        </w:tc>
        <w:tc>
          <w:tcPr>
            <w:tcW w:w="700" w:type="dxa"/>
            <w:tcMar>
              <w:top w:w="0" w:type="dxa"/>
              <w:bottom w:w="0" w:type="dxa"/>
            </w:tcMar>
            <w:vAlign w:val="center"/>
          </w:tcPr>
          <w:p w14:paraId="57EA7B26" w14:textId="77777777" w:rsidR="002660AA" w:rsidRDefault="009B260F">
            <w:pPr>
              <w:keepNext/>
              <w:keepLines/>
              <w:spacing w:after="0" w:line="240" w:lineRule="auto"/>
            </w:pPr>
            <w:r>
              <w:rPr>
                <w:sz w:val="18"/>
              </w:rPr>
              <w:t>0213</w:t>
            </w:r>
          </w:p>
        </w:tc>
        <w:tc>
          <w:tcPr>
            <w:tcW w:w="1860" w:type="dxa"/>
            <w:tcMar>
              <w:top w:w="0" w:type="dxa"/>
              <w:bottom w:w="0" w:type="dxa"/>
            </w:tcMar>
            <w:vAlign w:val="center"/>
          </w:tcPr>
          <w:p w14:paraId="59834488" w14:textId="77777777" w:rsidR="002660AA" w:rsidRDefault="009B260F">
            <w:pPr>
              <w:keepNext/>
              <w:keepLines/>
              <w:spacing w:after="0" w:line="240" w:lineRule="auto"/>
              <w:jc w:val="right"/>
            </w:pPr>
            <w:r>
              <w:rPr>
                <w:sz w:val="18"/>
              </w:rPr>
              <w:t>67.809.650,95</w:t>
            </w:r>
          </w:p>
        </w:tc>
        <w:tc>
          <w:tcPr>
            <w:tcW w:w="1860" w:type="dxa"/>
            <w:tcMar>
              <w:top w:w="0" w:type="dxa"/>
              <w:bottom w:w="0" w:type="dxa"/>
            </w:tcMar>
            <w:vAlign w:val="center"/>
          </w:tcPr>
          <w:p w14:paraId="1BE90C8B" w14:textId="77777777" w:rsidR="002660AA" w:rsidRDefault="009B260F">
            <w:pPr>
              <w:keepNext/>
              <w:keepLines/>
              <w:spacing w:after="0" w:line="240" w:lineRule="auto"/>
              <w:jc w:val="right"/>
            </w:pPr>
            <w:r>
              <w:rPr>
                <w:sz w:val="18"/>
              </w:rPr>
              <w:t>71.054.888,36</w:t>
            </w:r>
          </w:p>
        </w:tc>
        <w:tc>
          <w:tcPr>
            <w:tcW w:w="700" w:type="dxa"/>
            <w:tcMar>
              <w:top w:w="0" w:type="dxa"/>
              <w:bottom w:w="0" w:type="dxa"/>
            </w:tcMar>
            <w:vAlign w:val="center"/>
          </w:tcPr>
          <w:p w14:paraId="569302FE" w14:textId="77777777" w:rsidR="002660AA" w:rsidRDefault="009B260F">
            <w:pPr>
              <w:keepNext/>
              <w:keepLines/>
              <w:spacing w:after="0" w:line="240" w:lineRule="auto"/>
              <w:jc w:val="right"/>
            </w:pPr>
            <w:r>
              <w:rPr>
                <w:sz w:val="18"/>
              </w:rPr>
              <w:t>104,8</w:t>
            </w:r>
          </w:p>
        </w:tc>
      </w:tr>
    </w:tbl>
    <w:p w14:paraId="0B1E9F1E" w14:textId="77777777" w:rsidR="002660AA" w:rsidRDefault="002660AA">
      <w:pPr>
        <w:spacing w:after="0"/>
      </w:pPr>
    </w:p>
    <w:p w14:paraId="30CAEB69" w14:textId="77777777" w:rsidR="002660AA" w:rsidRDefault="009B260F">
      <w:r>
        <w:t>Podskupina 0213 - Ceste, željeznice i ostali prometni objekti u 2025. godini bilježi povećanje od 4,8 % u odnosu na 2024. godinu. Povećanje vrijednosti rezultat je prijenosa investicija u imovinu, uključujući sljedeće projekte:</w:t>
      </w:r>
    </w:p>
    <w:p w14:paraId="73B5E6BF" w14:textId="77777777" w:rsidR="002660AA" w:rsidRDefault="009B260F">
      <w:r>
        <w:t>·         Izgradnja pješačko-biciklističke staze Štaglinec - Draganovec</w:t>
      </w:r>
    </w:p>
    <w:p w14:paraId="246211CB" w14:textId="77777777" w:rsidR="002660AA" w:rsidRDefault="009B260F">
      <w:r>
        <w:t>·         Izgradnja prometnice, staze, javne rasvjete i komunalne kanalizacije u produžetku Ulice A. Heinricha</w:t>
      </w:r>
    </w:p>
    <w:p w14:paraId="61515B81" w14:textId="77777777" w:rsidR="002660AA" w:rsidRDefault="009B260F">
      <w:r>
        <w:t>·         Izgradnja rotora u Starogradskoj ulici</w:t>
      </w:r>
    </w:p>
    <w:p w14:paraId="09305E00" w14:textId="77777777" w:rsidR="002660AA" w:rsidRDefault="009B260F">
      <w:r>
        <w:t>·         Izgradnja prometnice Peteranska – Herešin</w:t>
      </w:r>
    </w:p>
    <w:p w14:paraId="1F92DC53" w14:textId="77777777" w:rsidR="002660AA" w:rsidRDefault="009B260F">
      <w:r>
        <w:t>·         Prometnica u poslovnoj zoni Radnička</w:t>
      </w:r>
    </w:p>
    <w:p w14:paraId="601B2A13" w14:textId="77777777" w:rsidR="002660AA" w:rsidRDefault="002660AA"/>
    <w:p w14:paraId="0D2A1783" w14:textId="77777777" w:rsidR="002660AA" w:rsidRDefault="009B260F">
      <w:pPr>
        <w:keepNext/>
        <w:spacing w:line="240" w:lineRule="auto"/>
        <w:jc w:val="center"/>
      </w:pPr>
      <w:r>
        <w:rPr>
          <w:sz w:val="28"/>
        </w:rPr>
        <w:t>Bilješka 112.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897B93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2D4B2B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4D7E95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A1ED16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B53EB08"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D6C5591"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01B7657" w14:textId="77777777" w:rsidR="002660AA" w:rsidRDefault="009B260F">
            <w:pPr>
              <w:keepNext/>
              <w:keepLines/>
              <w:spacing w:after="0" w:line="240" w:lineRule="auto"/>
              <w:jc w:val="center"/>
            </w:pPr>
            <w:r>
              <w:rPr>
                <w:b/>
                <w:sz w:val="18"/>
              </w:rPr>
              <w:t>Indeks (%)</w:t>
            </w:r>
          </w:p>
        </w:tc>
      </w:tr>
      <w:tr w:rsidR="002660AA" w14:paraId="3D58EC37" w14:textId="77777777">
        <w:tblPrEx>
          <w:tblCellMar>
            <w:top w:w="0" w:type="dxa"/>
            <w:bottom w:w="0" w:type="dxa"/>
          </w:tblCellMar>
        </w:tblPrEx>
        <w:trPr>
          <w:cantSplit/>
          <w:trHeight w:val="560"/>
        </w:trPr>
        <w:tc>
          <w:tcPr>
            <w:tcW w:w="700" w:type="dxa"/>
            <w:tcMar>
              <w:top w:w="0" w:type="dxa"/>
              <w:bottom w:w="0" w:type="dxa"/>
            </w:tcMar>
            <w:vAlign w:val="center"/>
          </w:tcPr>
          <w:p w14:paraId="5FA8D24F" w14:textId="77777777" w:rsidR="002660AA" w:rsidRDefault="009B260F">
            <w:pPr>
              <w:keepNext/>
              <w:keepLines/>
              <w:spacing w:after="0" w:line="240" w:lineRule="auto"/>
            </w:pPr>
            <w:r>
              <w:rPr>
                <w:sz w:val="18"/>
              </w:rPr>
              <w:t>0214</w:t>
            </w:r>
          </w:p>
        </w:tc>
        <w:tc>
          <w:tcPr>
            <w:tcW w:w="3180" w:type="dxa"/>
            <w:tcMar>
              <w:top w:w="0" w:type="dxa"/>
              <w:bottom w:w="0" w:type="dxa"/>
            </w:tcMar>
            <w:vAlign w:val="center"/>
          </w:tcPr>
          <w:p w14:paraId="6A991968" w14:textId="77777777" w:rsidR="002660AA" w:rsidRDefault="009B260F">
            <w:pPr>
              <w:keepNext/>
              <w:keepLines/>
              <w:spacing w:after="0" w:line="240" w:lineRule="auto"/>
            </w:pPr>
            <w:r>
              <w:rPr>
                <w:sz w:val="18"/>
              </w:rPr>
              <w:t>Ostali građevinski objekti</w:t>
            </w:r>
          </w:p>
        </w:tc>
        <w:tc>
          <w:tcPr>
            <w:tcW w:w="700" w:type="dxa"/>
            <w:tcMar>
              <w:top w:w="0" w:type="dxa"/>
              <w:bottom w:w="0" w:type="dxa"/>
            </w:tcMar>
            <w:vAlign w:val="center"/>
          </w:tcPr>
          <w:p w14:paraId="0E709C87" w14:textId="77777777" w:rsidR="002660AA" w:rsidRDefault="009B260F">
            <w:pPr>
              <w:keepNext/>
              <w:keepLines/>
              <w:spacing w:after="0" w:line="240" w:lineRule="auto"/>
            </w:pPr>
            <w:r>
              <w:rPr>
                <w:sz w:val="18"/>
              </w:rPr>
              <w:t>0214</w:t>
            </w:r>
          </w:p>
        </w:tc>
        <w:tc>
          <w:tcPr>
            <w:tcW w:w="1860" w:type="dxa"/>
            <w:tcMar>
              <w:top w:w="0" w:type="dxa"/>
              <w:bottom w:w="0" w:type="dxa"/>
            </w:tcMar>
            <w:vAlign w:val="center"/>
          </w:tcPr>
          <w:p w14:paraId="1131902F" w14:textId="77777777" w:rsidR="002660AA" w:rsidRDefault="009B260F">
            <w:pPr>
              <w:keepNext/>
              <w:keepLines/>
              <w:spacing w:after="0" w:line="240" w:lineRule="auto"/>
              <w:jc w:val="right"/>
            </w:pPr>
            <w:r>
              <w:rPr>
                <w:sz w:val="18"/>
              </w:rPr>
              <w:t>25.346.529,43</w:t>
            </w:r>
          </w:p>
        </w:tc>
        <w:tc>
          <w:tcPr>
            <w:tcW w:w="1860" w:type="dxa"/>
            <w:tcMar>
              <w:top w:w="0" w:type="dxa"/>
              <w:bottom w:w="0" w:type="dxa"/>
            </w:tcMar>
            <w:vAlign w:val="center"/>
          </w:tcPr>
          <w:p w14:paraId="357503D6" w14:textId="77777777" w:rsidR="002660AA" w:rsidRDefault="009B260F">
            <w:pPr>
              <w:keepNext/>
              <w:keepLines/>
              <w:spacing w:after="0" w:line="240" w:lineRule="auto"/>
              <w:jc w:val="right"/>
            </w:pPr>
            <w:r>
              <w:rPr>
                <w:sz w:val="18"/>
              </w:rPr>
              <w:t>28.324.671,10</w:t>
            </w:r>
          </w:p>
        </w:tc>
        <w:tc>
          <w:tcPr>
            <w:tcW w:w="700" w:type="dxa"/>
            <w:tcMar>
              <w:top w:w="0" w:type="dxa"/>
              <w:bottom w:w="0" w:type="dxa"/>
            </w:tcMar>
            <w:vAlign w:val="center"/>
          </w:tcPr>
          <w:p w14:paraId="6520FB63" w14:textId="77777777" w:rsidR="002660AA" w:rsidRDefault="009B260F">
            <w:pPr>
              <w:keepNext/>
              <w:keepLines/>
              <w:spacing w:after="0" w:line="240" w:lineRule="auto"/>
              <w:jc w:val="right"/>
            </w:pPr>
            <w:r>
              <w:rPr>
                <w:sz w:val="18"/>
              </w:rPr>
              <w:t>111,7</w:t>
            </w:r>
          </w:p>
        </w:tc>
      </w:tr>
    </w:tbl>
    <w:p w14:paraId="176ADF5C" w14:textId="77777777" w:rsidR="002660AA" w:rsidRDefault="002660AA">
      <w:pPr>
        <w:spacing w:after="0"/>
      </w:pPr>
    </w:p>
    <w:p w14:paraId="7A079D0B" w14:textId="77777777" w:rsidR="002660AA" w:rsidRDefault="009B260F">
      <w:r>
        <w:t>Podskupina 0214 - Ostali građevinski objekti u 2025. godini bilježi povećanje od 11,7 % u odnosu na 2024. godinu. Povećanje vrijednosti rezultat investicija, uključujući cjelovitu obnovu Sinagoge, izgradnju sortirnice Herešin te sanaciju zida Danica.</w:t>
      </w:r>
    </w:p>
    <w:p w14:paraId="112099EC" w14:textId="77777777" w:rsidR="002660AA" w:rsidRDefault="002660AA"/>
    <w:p w14:paraId="2ABDAE01" w14:textId="77777777" w:rsidR="002660AA" w:rsidRDefault="009B260F">
      <w:pPr>
        <w:keepNext/>
        <w:spacing w:line="240" w:lineRule="auto"/>
        <w:jc w:val="center"/>
      </w:pPr>
      <w:r>
        <w:rPr>
          <w:sz w:val="28"/>
        </w:rPr>
        <w:t>Bilješka 113.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12D799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9C929D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556EFE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33E3FB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203928"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D3DAB44"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51E033BB" w14:textId="77777777" w:rsidR="002660AA" w:rsidRDefault="009B260F">
            <w:pPr>
              <w:keepNext/>
              <w:keepLines/>
              <w:spacing w:after="0" w:line="240" w:lineRule="auto"/>
              <w:jc w:val="center"/>
            </w:pPr>
            <w:r>
              <w:rPr>
                <w:b/>
                <w:sz w:val="18"/>
              </w:rPr>
              <w:t>Indeks (%)</w:t>
            </w:r>
          </w:p>
        </w:tc>
      </w:tr>
      <w:tr w:rsidR="002660AA" w14:paraId="46BF4159" w14:textId="77777777">
        <w:tblPrEx>
          <w:tblCellMar>
            <w:top w:w="0" w:type="dxa"/>
            <w:bottom w:w="0" w:type="dxa"/>
          </w:tblCellMar>
        </w:tblPrEx>
        <w:trPr>
          <w:cantSplit/>
          <w:trHeight w:val="560"/>
        </w:trPr>
        <w:tc>
          <w:tcPr>
            <w:tcW w:w="700" w:type="dxa"/>
            <w:tcMar>
              <w:top w:w="0" w:type="dxa"/>
              <w:bottom w:w="0" w:type="dxa"/>
            </w:tcMar>
            <w:vAlign w:val="center"/>
          </w:tcPr>
          <w:p w14:paraId="689E0B23" w14:textId="77777777" w:rsidR="002660AA" w:rsidRDefault="009B260F">
            <w:pPr>
              <w:keepNext/>
              <w:keepLines/>
              <w:spacing w:after="0" w:line="240" w:lineRule="auto"/>
            </w:pPr>
            <w:r>
              <w:rPr>
                <w:sz w:val="18"/>
              </w:rPr>
              <w:t>02921</w:t>
            </w:r>
          </w:p>
        </w:tc>
        <w:tc>
          <w:tcPr>
            <w:tcW w:w="3180" w:type="dxa"/>
            <w:tcMar>
              <w:top w:w="0" w:type="dxa"/>
              <w:bottom w:w="0" w:type="dxa"/>
            </w:tcMar>
            <w:vAlign w:val="center"/>
          </w:tcPr>
          <w:p w14:paraId="121E3EE5" w14:textId="77777777" w:rsidR="002660AA" w:rsidRDefault="009B260F">
            <w:pPr>
              <w:keepNext/>
              <w:keepLines/>
              <w:spacing w:after="0" w:line="240" w:lineRule="auto"/>
            </w:pPr>
            <w:r>
              <w:rPr>
                <w:sz w:val="18"/>
              </w:rPr>
              <w:t>Ispravak vrijednosti građevinskih objekata</w:t>
            </w:r>
          </w:p>
        </w:tc>
        <w:tc>
          <w:tcPr>
            <w:tcW w:w="700" w:type="dxa"/>
            <w:tcMar>
              <w:top w:w="0" w:type="dxa"/>
              <w:bottom w:w="0" w:type="dxa"/>
            </w:tcMar>
            <w:vAlign w:val="center"/>
          </w:tcPr>
          <w:p w14:paraId="2D5F905D" w14:textId="77777777" w:rsidR="002660AA" w:rsidRDefault="009B260F">
            <w:pPr>
              <w:keepNext/>
              <w:keepLines/>
              <w:spacing w:after="0" w:line="240" w:lineRule="auto"/>
            </w:pPr>
            <w:r>
              <w:rPr>
                <w:sz w:val="18"/>
              </w:rPr>
              <w:t>02921</w:t>
            </w:r>
          </w:p>
        </w:tc>
        <w:tc>
          <w:tcPr>
            <w:tcW w:w="1860" w:type="dxa"/>
            <w:tcMar>
              <w:top w:w="0" w:type="dxa"/>
              <w:bottom w:w="0" w:type="dxa"/>
            </w:tcMar>
            <w:vAlign w:val="center"/>
          </w:tcPr>
          <w:p w14:paraId="463209F7" w14:textId="77777777" w:rsidR="002660AA" w:rsidRDefault="009B260F">
            <w:pPr>
              <w:keepNext/>
              <w:keepLines/>
              <w:spacing w:after="0" w:line="240" w:lineRule="auto"/>
              <w:jc w:val="right"/>
            </w:pPr>
            <w:r>
              <w:rPr>
                <w:sz w:val="18"/>
              </w:rPr>
              <w:t>51.136.927,48</w:t>
            </w:r>
          </w:p>
        </w:tc>
        <w:tc>
          <w:tcPr>
            <w:tcW w:w="1860" w:type="dxa"/>
            <w:tcMar>
              <w:top w:w="0" w:type="dxa"/>
              <w:bottom w:w="0" w:type="dxa"/>
            </w:tcMar>
            <w:vAlign w:val="center"/>
          </w:tcPr>
          <w:p w14:paraId="08B51BD4" w14:textId="77777777" w:rsidR="002660AA" w:rsidRDefault="009B260F">
            <w:pPr>
              <w:keepNext/>
              <w:keepLines/>
              <w:spacing w:after="0" w:line="240" w:lineRule="auto"/>
              <w:jc w:val="right"/>
            </w:pPr>
            <w:r>
              <w:rPr>
                <w:sz w:val="18"/>
              </w:rPr>
              <w:t>55.191.842,10</w:t>
            </w:r>
          </w:p>
        </w:tc>
        <w:tc>
          <w:tcPr>
            <w:tcW w:w="700" w:type="dxa"/>
            <w:tcMar>
              <w:top w:w="0" w:type="dxa"/>
              <w:bottom w:w="0" w:type="dxa"/>
            </w:tcMar>
            <w:vAlign w:val="center"/>
          </w:tcPr>
          <w:p w14:paraId="26F9585A" w14:textId="77777777" w:rsidR="002660AA" w:rsidRDefault="009B260F">
            <w:pPr>
              <w:keepNext/>
              <w:keepLines/>
              <w:spacing w:after="0" w:line="240" w:lineRule="auto"/>
              <w:jc w:val="right"/>
            </w:pPr>
            <w:r>
              <w:rPr>
                <w:sz w:val="18"/>
              </w:rPr>
              <w:t>107,9</w:t>
            </w:r>
          </w:p>
        </w:tc>
      </w:tr>
    </w:tbl>
    <w:p w14:paraId="323AC634" w14:textId="77777777" w:rsidR="002660AA" w:rsidRDefault="002660AA">
      <w:pPr>
        <w:spacing w:after="0"/>
      </w:pPr>
    </w:p>
    <w:p w14:paraId="13D28EB0" w14:textId="77777777" w:rsidR="002660AA" w:rsidRDefault="009B260F">
      <w:r>
        <w:t>Odjeljak 02921 - Ispravak vrijednosti građevinskih objekata u 2025. godini bilježi povećanje od 7,9 % u odnosu na 2024. godinu. Povećanje je rezultat redovnog obračuna ispravka vrijednosti (amortizacije) građevinskih objekata za 2025. godinu, sukladno važećim računovodstvenim propisima.</w:t>
      </w:r>
    </w:p>
    <w:p w14:paraId="0FB8A898" w14:textId="77777777" w:rsidR="002660AA" w:rsidRDefault="002660AA"/>
    <w:p w14:paraId="3A287A9A" w14:textId="77777777" w:rsidR="002660AA" w:rsidRDefault="009B260F">
      <w:pPr>
        <w:keepNext/>
        <w:spacing w:line="240" w:lineRule="auto"/>
        <w:jc w:val="center"/>
      </w:pPr>
      <w:r>
        <w:rPr>
          <w:sz w:val="28"/>
        </w:rPr>
        <w:t>Bilješka 114.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000A02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DF4464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F39E87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B97032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61C42A"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70AF71E5"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15B15B1A" w14:textId="77777777" w:rsidR="002660AA" w:rsidRDefault="009B260F">
            <w:pPr>
              <w:keepNext/>
              <w:keepLines/>
              <w:spacing w:after="0" w:line="240" w:lineRule="auto"/>
              <w:jc w:val="center"/>
            </w:pPr>
            <w:r>
              <w:rPr>
                <w:b/>
                <w:sz w:val="18"/>
              </w:rPr>
              <w:t>Indeks (%)</w:t>
            </w:r>
          </w:p>
        </w:tc>
      </w:tr>
      <w:tr w:rsidR="002660AA" w14:paraId="617187C3" w14:textId="77777777">
        <w:tblPrEx>
          <w:tblCellMar>
            <w:top w:w="0" w:type="dxa"/>
            <w:bottom w:w="0" w:type="dxa"/>
          </w:tblCellMar>
        </w:tblPrEx>
        <w:trPr>
          <w:cantSplit/>
          <w:trHeight w:val="560"/>
        </w:trPr>
        <w:tc>
          <w:tcPr>
            <w:tcW w:w="700" w:type="dxa"/>
            <w:tcMar>
              <w:top w:w="0" w:type="dxa"/>
              <w:bottom w:w="0" w:type="dxa"/>
            </w:tcMar>
            <w:vAlign w:val="center"/>
          </w:tcPr>
          <w:p w14:paraId="430BE7DB" w14:textId="77777777" w:rsidR="002660AA" w:rsidRDefault="009B260F">
            <w:pPr>
              <w:keepNext/>
              <w:keepLines/>
              <w:spacing w:after="0" w:line="240" w:lineRule="auto"/>
            </w:pPr>
            <w:r>
              <w:rPr>
                <w:sz w:val="18"/>
              </w:rPr>
              <w:t>0221</w:t>
            </w:r>
          </w:p>
        </w:tc>
        <w:tc>
          <w:tcPr>
            <w:tcW w:w="3180" w:type="dxa"/>
            <w:tcMar>
              <w:top w:w="0" w:type="dxa"/>
              <w:bottom w:w="0" w:type="dxa"/>
            </w:tcMar>
            <w:vAlign w:val="center"/>
          </w:tcPr>
          <w:p w14:paraId="3ACA9C8B" w14:textId="77777777" w:rsidR="002660AA" w:rsidRDefault="009B260F">
            <w:pPr>
              <w:keepNext/>
              <w:keepLines/>
              <w:spacing w:after="0" w:line="240" w:lineRule="auto"/>
            </w:pPr>
            <w:r>
              <w:rPr>
                <w:sz w:val="18"/>
              </w:rPr>
              <w:t>Uredska oprema i namještaj</w:t>
            </w:r>
          </w:p>
        </w:tc>
        <w:tc>
          <w:tcPr>
            <w:tcW w:w="700" w:type="dxa"/>
            <w:tcMar>
              <w:top w:w="0" w:type="dxa"/>
              <w:bottom w:w="0" w:type="dxa"/>
            </w:tcMar>
            <w:vAlign w:val="center"/>
          </w:tcPr>
          <w:p w14:paraId="09E44E20" w14:textId="77777777" w:rsidR="002660AA" w:rsidRDefault="009B260F">
            <w:pPr>
              <w:keepNext/>
              <w:keepLines/>
              <w:spacing w:after="0" w:line="240" w:lineRule="auto"/>
            </w:pPr>
            <w:r>
              <w:rPr>
                <w:sz w:val="18"/>
              </w:rPr>
              <w:t>0221</w:t>
            </w:r>
          </w:p>
        </w:tc>
        <w:tc>
          <w:tcPr>
            <w:tcW w:w="1860" w:type="dxa"/>
            <w:tcMar>
              <w:top w:w="0" w:type="dxa"/>
              <w:bottom w:w="0" w:type="dxa"/>
            </w:tcMar>
            <w:vAlign w:val="center"/>
          </w:tcPr>
          <w:p w14:paraId="1695DBFF" w14:textId="77777777" w:rsidR="002660AA" w:rsidRDefault="009B260F">
            <w:pPr>
              <w:keepNext/>
              <w:keepLines/>
              <w:spacing w:after="0" w:line="240" w:lineRule="auto"/>
              <w:jc w:val="right"/>
            </w:pPr>
            <w:r>
              <w:rPr>
                <w:sz w:val="18"/>
              </w:rPr>
              <w:t>1.161.933,93</w:t>
            </w:r>
          </w:p>
        </w:tc>
        <w:tc>
          <w:tcPr>
            <w:tcW w:w="1860" w:type="dxa"/>
            <w:tcMar>
              <w:top w:w="0" w:type="dxa"/>
              <w:bottom w:w="0" w:type="dxa"/>
            </w:tcMar>
            <w:vAlign w:val="center"/>
          </w:tcPr>
          <w:p w14:paraId="0E258C39" w14:textId="77777777" w:rsidR="002660AA" w:rsidRDefault="009B260F">
            <w:pPr>
              <w:keepNext/>
              <w:keepLines/>
              <w:spacing w:after="0" w:line="240" w:lineRule="auto"/>
              <w:jc w:val="right"/>
            </w:pPr>
            <w:r>
              <w:rPr>
                <w:sz w:val="18"/>
              </w:rPr>
              <w:t>1.444.175,86</w:t>
            </w:r>
          </w:p>
        </w:tc>
        <w:tc>
          <w:tcPr>
            <w:tcW w:w="700" w:type="dxa"/>
            <w:tcMar>
              <w:top w:w="0" w:type="dxa"/>
              <w:bottom w:w="0" w:type="dxa"/>
            </w:tcMar>
            <w:vAlign w:val="center"/>
          </w:tcPr>
          <w:p w14:paraId="51811E3A" w14:textId="77777777" w:rsidR="002660AA" w:rsidRDefault="009B260F">
            <w:pPr>
              <w:keepNext/>
              <w:keepLines/>
              <w:spacing w:after="0" w:line="240" w:lineRule="auto"/>
              <w:jc w:val="right"/>
            </w:pPr>
            <w:r>
              <w:rPr>
                <w:sz w:val="18"/>
              </w:rPr>
              <w:t>124,3</w:t>
            </w:r>
          </w:p>
        </w:tc>
      </w:tr>
    </w:tbl>
    <w:p w14:paraId="5B7224DF" w14:textId="77777777" w:rsidR="002660AA" w:rsidRDefault="002660AA">
      <w:pPr>
        <w:spacing w:after="0"/>
      </w:pPr>
    </w:p>
    <w:p w14:paraId="44FD6178" w14:textId="77777777" w:rsidR="002660AA" w:rsidRDefault="009B260F">
      <w:r>
        <w:t>Odjeljak 0221 – Uredska oprema i namještaj u 2025. godini bilježi indeks od 124,3 u odnosu na 2024. godinu. Povećanje vrijednosti rezultat je nabave i opremanja objekta Dječjeg vrtića Bajer. </w:t>
      </w:r>
    </w:p>
    <w:p w14:paraId="479105FF" w14:textId="77777777" w:rsidR="002660AA" w:rsidRDefault="002660AA"/>
    <w:p w14:paraId="219FD377" w14:textId="77777777" w:rsidR="002660AA" w:rsidRDefault="009B260F">
      <w:pPr>
        <w:keepNext/>
        <w:spacing w:line="240" w:lineRule="auto"/>
        <w:jc w:val="center"/>
      </w:pPr>
      <w:r>
        <w:rPr>
          <w:sz w:val="28"/>
        </w:rPr>
        <w:t>Bilješka 115.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531E1A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B804F2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46A4E1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D435D1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C56274B"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02E6B72"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4FDCD05A" w14:textId="77777777" w:rsidR="002660AA" w:rsidRDefault="009B260F">
            <w:pPr>
              <w:keepNext/>
              <w:keepLines/>
              <w:spacing w:after="0" w:line="240" w:lineRule="auto"/>
              <w:jc w:val="center"/>
            </w:pPr>
            <w:r>
              <w:rPr>
                <w:b/>
                <w:sz w:val="18"/>
              </w:rPr>
              <w:t>Indeks (%)</w:t>
            </w:r>
          </w:p>
        </w:tc>
      </w:tr>
      <w:tr w:rsidR="002660AA" w14:paraId="33B175A5" w14:textId="77777777">
        <w:tblPrEx>
          <w:tblCellMar>
            <w:top w:w="0" w:type="dxa"/>
            <w:bottom w:w="0" w:type="dxa"/>
          </w:tblCellMar>
        </w:tblPrEx>
        <w:trPr>
          <w:cantSplit/>
          <w:trHeight w:val="560"/>
        </w:trPr>
        <w:tc>
          <w:tcPr>
            <w:tcW w:w="700" w:type="dxa"/>
            <w:tcMar>
              <w:top w:w="0" w:type="dxa"/>
              <w:bottom w:w="0" w:type="dxa"/>
            </w:tcMar>
            <w:vAlign w:val="center"/>
          </w:tcPr>
          <w:p w14:paraId="45AB0FD9" w14:textId="77777777" w:rsidR="002660AA" w:rsidRDefault="009B260F">
            <w:pPr>
              <w:keepNext/>
              <w:keepLines/>
              <w:spacing w:after="0" w:line="240" w:lineRule="auto"/>
            </w:pPr>
            <w:r>
              <w:rPr>
                <w:sz w:val="18"/>
              </w:rPr>
              <w:t>0227</w:t>
            </w:r>
          </w:p>
        </w:tc>
        <w:tc>
          <w:tcPr>
            <w:tcW w:w="3180" w:type="dxa"/>
            <w:tcMar>
              <w:top w:w="0" w:type="dxa"/>
              <w:bottom w:w="0" w:type="dxa"/>
            </w:tcMar>
            <w:vAlign w:val="center"/>
          </w:tcPr>
          <w:p w14:paraId="4E8BD08C" w14:textId="77777777" w:rsidR="002660AA" w:rsidRDefault="009B260F">
            <w:pPr>
              <w:keepNext/>
              <w:keepLines/>
              <w:spacing w:after="0" w:line="240" w:lineRule="auto"/>
            </w:pPr>
            <w:r>
              <w:rPr>
                <w:sz w:val="18"/>
              </w:rPr>
              <w:t>Uređaji, strojevi i oprema za ostale namjene</w:t>
            </w:r>
          </w:p>
        </w:tc>
        <w:tc>
          <w:tcPr>
            <w:tcW w:w="700" w:type="dxa"/>
            <w:tcMar>
              <w:top w:w="0" w:type="dxa"/>
              <w:bottom w:w="0" w:type="dxa"/>
            </w:tcMar>
            <w:vAlign w:val="center"/>
          </w:tcPr>
          <w:p w14:paraId="64CC6718" w14:textId="77777777" w:rsidR="002660AA" w:rsidRDefault="009B260F">
            <w:pPr>
              <w:keepNext/>
              <w:keepLines/>
              <w:spacing w:after="0" w:line="240" w:lineRule="auto"/>
            </w:pPr>
            <w:r>
              <w:rPr>
                <w:sz w:val="18"/>
              </w:rPr>
              <w:t>0227</w:t>
            </w:r>
          </w:p>
        </w:tc>
        <w:tc>
          <w:tcPr>
            <w:tcW w:w="1860" w:type="dxa"/>
            <w:tcMar>
              <w:top w:w="0" w:type="dxa"/>
              <w:bottom w:w="0" w:type="dxa"/>
            </w:tcMar>
            <w:vAlign w:val="center"/>
          </w:tcPr>
          <w:p w14:paraId="109BF490" w14:textId="77777777" w:rsidR="002660AA" w:rsidRDefault="009B260F">
            <w:pPr>
              <w:keepNext/>
              <w:keepLines/>
              <w:spacing w:after="0" w:line="240" w:lineRule="auto"/>
              <w:jc w:val="right"/>
            </w:pPr>
            <w:r>
              <w:rPr>
                <w:sz w:val="18"/>
              </w:rPr>
              <w:t>1.327.798,17</w:t>
            </w:r>
          </w:p>
        </w:tc>
        <w:tc>
          <w:tcPr>
            <w:tcW w:w="1860" w:type="dxa"/>
            <w:tcMar>
              <w:top w:w="0" w:type="dxa"/>
              <w:bottom w:w="0" w:type="dxa"/>
            </w:tcMar>
            <w:vAlign w:val="center"/>
          </w:tcPr>
          <w:p w14:paraId="4A0200EB" w14:textId="77777777" w:rsidR="002660AA" w:rsidRDefault="009B260F">
            <w:pPr>
              <w:keepNext/>
              <w:keepLines/>
              <w:spacing w:after="0" w:line="240" w:lineRule="auto"/>
              <w:jc w:val="right"/>
            </w:pPr>
            <w:r>
              <w:rPr>
                <w:sz w:val="18"/>
              </w:rPr>
              <w:t>3.448.468,91</w:t>
            </w:r>
          </w:p>
        </w:tc>
        <w:tc>
          <w:tcPr>
            <w:tcW w:w="700" w:type="dxa"/>
            <w:tcMar>
              <w:top w:w="0" w:type="dxa"/>
              <w:bottom w:w="0" w:type="dxa"/>
            </w:tcMar>
            <w:vAlign w:val="center"/>
          </w:tcPr>
          <w:p w14:paraId="49EA1196" w14:textId="77777777" w:rsidR="002660AA" w:rsidRDefault="009B260F">
            <w:pPr>
              <w:keepNext/>
              <w:keepLines/>
              <w:spacing w:after="0" w:line="240" w:lineRule="auto"/>
              <w:jc w:val="right"/>
            </w:pPr>
            <w:r>
              <w:rPr>
                <w:sz w:val="18"/>
              </w:rPr>
              <w:t>259,7</w:t>
            </w:r>
          </w:p>
        </w:tc>
      </w:tr>
    </w:tbl>
    <w:p w14:paraId="39FAFFBA" w14:textId="77777777" w:rsidR="002660AA" w:rsidRDefault="002660AA">
      <w:pPr>
        <w:spacing w:after="0"/>
      </w:pPr>
    </w:p>
    <w:p w14:paraId="6D3152AB" w14:textId="77777777" w:rsidR="002660AA" w:rsidRDefault="009B260F">
      <w:r>
        <w:t>Odjeljak 0227 - Uređaji, strojevi i oprema za ostale namjene u 2025. godini bilježi indeks od 259,7 u odnosu na 2024. godinu. Značajno povećanje vrijednosti rezultat je nabave opreme u okviru projekata izgradnje Dječjeg vrtića Bajer, opremanja kuhinje u Osnovnoj školi „Braća Radić“ te opremanja Sortirnice Herešin.</w:t>
      </w:r>
    </w:p>
    <w:p w14:paraId="183D4AA2" w14:textId="77777777" w:rsidR="002660AA" w:rsidRDefault="002660AA"/>
    <w:p w14:paraId="0264DA88" w14:textId="77777777" w:rsidR="002660AA" w:rsidRDefault="009B260F">
      <w:pPr>
        <w:keepNext/>
        <w:spacing w:line="240" w:lineRule="auto"/>
        <w:jc w:val="center"/>
      </w:pPr>
      <w:r>
        <w:rPr>
          <w:sz w:val="28"/>
        </w:rPr>
        <w:t>Bilješka 116.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39E3C6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220574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DC1A17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85BBB6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23042B8"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307C5573"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2CE6F6FE" w14:textId="77777777" w:rsidR="002660AA" w:rsidRDefault="009B260F">
            <w:pPr>
              <w:keepNext/>
              <w:keepLines/>
              <w:spacing w:after="0" w:line="240" w:lineRule="auto"/>
              <w:jc w:val="center"/>
            </w:pPr>
            <w:r>
              <w:rPr>
                <w:b/>
                <w:sz w:val="18"/>
              </w:rPr>
              <w:t>Indeks (%)</w:t>
            </w:r>
          </w:p>
        </w:tc>
      </w:tr>
      <w:tr w:rsidR="002660AA" w14:paraId="641FAAC7" w14:textId="77777777">
        <w:tblPrEx>
          <w:tblCellMar>
            <w:top w:w="0" w:type="dxa"/>
            <w:bottom w:w="0" w:type="dxa"/>
          </w:tblCellMar>
        </w:tblPrEx>
        <w:trPr>
          <w:cantSplit/>
          <w:trHeight w:val="560"/>
        </w:trPr>
        <w:tc>
          <w:tcPr>
            <w:tcW w:w="700" w:type="dxa"/>
            <w:tcMar>
              <w:top w:w="0" w:type="dxa"/>
              <w:bottom w:w="0" w:type="dxa"/>
            </w:tcMar>
            <w:vAlign w:val="center"/>
          </w:tcPr>
          <w:p w14:paraId="5880E661" w14:textId="77777777" w:rsidR="002660AA" w:rsidRDefault="009B260F">
            <w:pPr>
              <w:keepNext/>
              <w:keepLines/>
              <w:spacing w:after="0" w:line="240" w:lineRule="auto"/>
            </w:pPr>
            <w:r>
              <w:rPr>
                <w:sz w:val="18"/>
              </w:rPr>
              <w:t>02922</w:t>
            </w:r>
          </w:p>
        </w:tc>
        <w:tc>
          <w:tcPr>
            <w:tcW w:w="3180" w:type="dxa"/>
            <w:tcMar>
              <w:top w:w="0" w:type="dxa"/>
              <w:bottom w:w="0" w:type="dxa"/>
            </w:tcMar>
            <w:vAlign w:val="center"/>
          </w:tcPr>
          <w:p w14:paraId="64130DB3" w14:textId="77777777" w:rsidR="002660AA" w:rsidRDefault="009B260F">
            <w:pPr>
              <w:keepNext/>
              <w:keepLines/>
              <w:spacing w:after="0" w:line="240" w:lineRule="auto"/>
            </w:pPr>
            <w:r>
              <w:rPr>
                <w:sz w:val="18"/>
              </w:rPr>
              <w:t>Ispravak vrijednosti postrojenja i opreme</w:t>
            </w:r>
          </w:p>
        </w:tc>
        <w:tc>
          <w:tcPr>
            <w:tcW w:w="700" w:type="dxa"/>
            <w:tcMar>
              <w:top w:w="0" w:type="dxa"/>
              <w:bottom w:w="0" w:type="dxa"/>
            </w:tcMar>
            <w:vAlign w:val="center"/>
          </w:tcPr>
          <w:p w14:paraId="4A016C89" w14:textId="77777777" w:rsidR="002660AA" w:rsidRDefault="009B260F">
            <w:pPr>
              <w:keepNext/>
              <w:keepLines/>
              <w:spacing w:after="0" w:line="240" w:lineRule="auto"/>
            </w:pPr>
            <w:r>
              <w:rPr>
                <w:sz w:val="18"/>
              </w:rPr>
              <w:t>02922</w:t>
            </w:r>
          </w:p>
        </w:tc>
        <w:tc>
          <w:tcPr>
            <w:tcW w:w="1860" w:type="dxa"/>
            <w:tcMar>
              <w:top w:w="0" w:type="dxa"/>
              <w:bottom w:w="0" w:type="dxa"/>
            </w:tcMar>
            <w:vAlign w:val="center"/>
          </w:tcPr>
          <w:p w14:paraId="33AD9BD0" w14:textId="77777777" w:rsidR="002660AA" w:rsidRDefault="009B260F">
            <w:pPr>
              <w:keepNext/>
              <w:keepLines/>
              <w:spacing w:after="0" w:line="240" w:lineRule="auto"/>
              <w:jc w:val="right"/>
            </w:pPr>
            <w:r>
              <w:rPr>
                <w:sz w:val="18"/>
              </w:rPr>
              <w:t>1.890.024,74</w:t>
            </w:r>
          </w:p>
        </w:tc>
        <w:tc>
          <w:tcPr>
            <w:tcW w:w="1860" w:type="dxa"/>
            <w:tcMar>
              <w:top w:w="0" w:type="dxa"/>
              <w:bottom w:w="0" w:type="dxa"/>
            </w:tcMar>
            <w:vAlign w:val="center"/>
          </w:tcPr>
          <w:p w14:paraId="263F3E73" w14:textId="77777777" w:rsidR="002660AA" w:rsidRDefault="009B260F">
            <w:pPr>
              <w:keepNext/>
              <w:keepLines/>
              <w:spacing w:after="0" w:line="240" w:lineRule="auto"/>
              <w:jc w:val="right"/>
            </w:pPr>
            <w:r>
              <w:rPr>
                <w:sz w:val="18"/>
              </w:rPr>
              <w:t>2.183.982,19</w:t>
            </w:r>
          </w:p>
        </w:tc>
        <w:tc>
          <w:tcPr>
            <w:tcW w:w="700" w:type="dxa"/>
            <w:tcMar>
              <w:top w:w="0" w:type="dxa"/>
              <w:bottom w:w="0" w:type="dxa"/>
            </w:tcMar>
            <w:vAlign w:val="center"/>
          </w:tcPr>
          <w:p w14:paraId="634B8AFB" w14:textId="77777777" w:rsidR="002660AA" w:rsidRDefault="009B260F">
            <w:pPr>
              <w:keepNext/>
              <w:keepLines/>
              <w:spacing w:after="0" w:line="240" w:lineRule="auto"/>
              <w:jc w:val="right"/>
            </w:pPr>
            <w:r>
              <w:rPr>
                <w:sz w:val="18"/>
              </w:rPr>
              <w:t>115,6</w:t>
            </w:r>
          </w:p>
        </w:tc>
      </w:tr>
    </w:tbl>
    <w:p w14:paraId="2DE78E34" w14:textId="77777777" w:rsidR="002660AA" w:rsidRDefault="002660AA">
      <w:pPr>
        <w:spacing w:after="0"/>
      </w:pPr>
    </w:p>
    <w:p w14:paraId="274728AC" w14:textId="77777777" w:rsidR="002660AA" w:rsidRDefault="009B260F">
      <w:r>
        <w:t>Odjeljak 02922 - Ispravak vrijednosti postrojenja i opreme u 2025. godini bilježi indeks od 115,6 u odnosu na 2024. godinu. Povećanje je rezultat redovnog obračuna ispravka vrijednosti (amortizacije) postrojenja i opreme, uključujući novu opremu evidentiranu tijekom 2025. godine.</w:t>
      </w:r>
    </w:p>
    <w:p w14:paraId="6FF028C5" w14:textId="77777777" w:rsidR="002660AA" w:rsidRDefault="002660AA"/>
    <w:p w14:paraId="6B59090C" w14:textId="77777777" w:rsidR="002660AA" w:rsidRDefault="009B260F">
      <w:pPr>
        <w:keepNext/>
        <w:spacing w:line="240" w:lineRule="auto"/>
        <w:jc w:val="center"/>
      </w:pPr>
      <w:r>
        <w:rPr>
          <w:sz w:val="28"/>
        </w:rPr>
        <w:t>Bilješka 117.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288CE51"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1BCF86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991BE8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7468B8B"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864392C"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37F2397B"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293FE1F" w14:textId="77777777" w:rsidR="002660AA" w:rsidRDefault="009B260F">
            <w:pPr>
              <w:keepNext/>
              <w:keepLines/>
              <w:spacing w:after="0" w:line="240" w:lineRule="auto"/>
              <w:jc w:val="center"/>
            </w:pPr>
            <w:r>
              <w:rPr>
                <w:b/>
                <w:sz w:val="18"/>
              </w:rPr>
              <w:t>Indeks (%)</w:t>
            </w:r>
          </w:p>
        </w:tc>
      </w:tr>
      <w:tr w:rsidR="002660AA" w14:paraId="6B837414" w14:textId="77777777">
        <w:tblPrEx>
          <w:tblCellMar>
            <w:top w:w="0" w:type="dxa"/>
            <w:bottom w:w="0" w:type="dxa"/>
          </w:tblCellMar>
        </w:tblPrEx>
        <w:trPr>
          <w:cantSplit/>
          <w:trHeight w:val="560"/>
        </w:trPr>
        <w:tc>
          <w:tcPr>
            <w:tcW w:w="700" w:type="dxa"/>
            <w:tcMar>
              <w:top w:w="0" w:type="dxa"/>
              <w:bottom w:w="0" w:type="dxa"/>
            </w:tcMar>
            <w:vAlign w:val="center"/>
          </w:tcPr>
          <w:p w14:paraId="355FD836" w14:textId="77777777" w:rsidR="002660AA" w:rsidRDefault="009B260F">
            <w:pPr>
              <w:keepNext/>
              <w:keepLines/>
              <w:spacing w:after="0" w:line="240" w:lineRule="auto"/>
            </w:pPr>
            <w:r>
              <w:rPr>
                <w:sz w:val="18"/>
              </w:rPr>
              <w:t>0262</w:t>
            </w:r>
          </w:p>
        </w:tc>
        <w:tc>
          <w:tcPr>
            <w:tcW w:w="3180" w:type="dxa"/>
            <w:tcMar>
              <w:top w:w="0" w:type="dxa"/>
              <w:bottom w:w="0" w:type="dxa"/>
            </w:tcMar>
            <w:vAlign w:val="center"/>
          </w:tcPr>
          <w:p w14:paraId="38F660D7" w14:textId="77777777" w:rsidR="002660AA" w:rsidRDefault="009B260F">
            <w:pPr>
              <w:keepNext/>
              <w:keepLines/>
              <w:spacing w:after="0" w:line="240" w:lineRule="auto"/>
            </w:pPr>
            <w:r>
              <w:rPr>
                <w:sz w:val="18"/>
              </w:rPr>
              <w:t>Ulaganja u računalne programe</w:t>
            </w:r>
          </w:p>
        </w:tc>
        <w:tc>
          <w:tcPr>
            <w:tcW w:w="700" w:type="dxa"/>
            <w:tcMar>
              <w:top w:w="0" w:type="dxa"/>
              <w:bottom w:w="0" w:type="dxa"/>
            </w:tcMar>
            <w:vAlign w:val="center"/>
          </w:tcPr>
          <w:p w14:paraId="5EEDEE0C" w14:textId="77777777" w:rsidR="002660AA" w:rsidRDefault="009B260F">
            <w:pPr>
              <w:keepNext/>
              <w:keepLines/>
              <w:spacing w:after="0" w:line="240" w:lineRule="auto"/>
            </w:pPr>
            <w:r>
              <w:rPr>
                <w:sz w:val="18"/>
              </w:rPr>
              <w:t>0262</w:t>
            </w:r>
          </w:p>
        </w:tc>
        <w:tc>
          <w:tcPr>
            <w:tcW w:w="1860" w:type="dxa"/>
            <w:tcMar>
              <w:top w:w="0" w:type="dxa"/>
              <w:bottom w:w="0" w:type="dxa"/>
            </w:tcMar>
            <w:vAlign w:val="center"/>
          </w:tcPr>
          <w:p w14:paraId="68D2294F" w14:textId="77777777" w:rsidR="002660AA" w:rsidRDefault="009B260F">
            <w:pPr>
              <w:keepNext/>
              <w:keepLines/>
              <w:spacing w:after="0" w:line="240" w:lineRule="auto"/>
              <w:jc w:val="right"/>
            </w:pPr>
            <w:r>
              <w:rPr>
                <w:sz w:val="18"/>
              </w:rPr>
              <w:t>188.070,34</w:t>
            </w:r>
          </w:p>
        </w:tc>
        <w:tc>
          <w:tcPr>
            <w:tcW w:w="1860" w:type="dxa"/>
            <w:tcMar>
              <w:top w:w="0" w:type="dxa"/>
              <w:bottom w:w="0" w:type="dxa"/>
            </w:tcMar>
            <w:vAlign w:val="center"/>
          </w:tcPr>
          <w:p w14:paraId="6187AB91" w14:textId="77777777" w:rsidR="002660AA" w:rsidRDefault="009B260F">
            <w:pPr>
              <w:keepNext/>
              <w:keepLines/>
              <w:spacing w:after="0" w:line="240" w:lineRule="auto"/>
              <w:jc w:val="right"/>
            </w:pPr>
            <w:r>
              <w:rPr>
                <w:sz w:val="18"/>
              </w:rPr>
              <w:t>216.356,60</w:t>
            </w:r>
          </w:p>
        </w:tc>
        <w:tc>
          <w:tcPr>
            <w:tcW w:w="700" w:type="dxa"/>
            <w:tcMar>
              <w:top w:w="0" w:type="dxa"/>
              <w:bottom w:w="0" w:type="dxa"/>
            </w:tcMar>
            <w:vAlign w:val="center"/>
          </w:tcPr>
          <w:p w14:paraId="2CCDBAC9" w14:textId="77777777" w:rsidR="002660AA" w:rsidRDefault="009B260F">
            <w:pPr>
              <w:keepNext/>
              <w:keepLines/>
              <w:spacing w:after="0" w:line="240" w:lineRule="auto"/>
              <w:jc w:val="right"/>
            </w:pPr>
            <w:r>
              <w:rPr>
                <w:sz w:val="18"/>
              </w:rPr>
              <w:t>115,0</w:t>
            </w:r>
          </w:p>
        </w:tc>
      </w:tr>
    </w:tbl>
    <w:p w14:paraId="2D0912E9" w14:textId="77777777" w:rsidR="002660AA" w:rsidRDefault="002660AA">
      <w:pPr>
        <w:spacing w:after="0"/>
      </w:pPr>
    </w:p>
    <w:p w14:paraId="502740FF" w14:textId="77777777" w:rsidR="002660AA" w:rsidRDefault="009B260F">
      <w:r>
        <w:t>Odjeljak 0262 - Ulaganja u računalne programe u 2025. godini bilježi povećanje od 15 % u odnosu na 2024. godinu. Povećanje je rezultat nabave novih softverskih modula, uključujući module za narudžbenice i javnu nabavu, kao i uvođenja novog proračunskog korisnika u sustav riznice (Dječji vrtić „Medenjak“).</w:t>
      </w:r>
    </w:p>
    <w:p w14:paraId="0CF55400" w14:textId="77777777" w:rsidR="002660AA" w:rsidRDefault="002660AA"/>
    <w:p w14:paraId="3AA443EA" w14:textId="77777777" w:rsidR="002660AA" w:rsidRDefault="009B260F">
      <w:pPr>
        <w:keepNext/>
        <w:spacing w:line="240" w:lineRule="auto"/>
        <w:jc w:val="center"/>
      </w:pPr>
      <w:r>
        <w:rPr>
          <w:sz w:val="28"/>
        </w:rPr>
        <w:t>Bilješka 118.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9B181A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ACE3F8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567D78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C3A2A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43568D"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15C4B6B"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2CC62CCD" w14:textId="77777777" w:rsidR="002660AA" w:rsidRDefault="009B260F">
            <w:pPr>
              <w:keepNext/>
              <w:keepLines/>
              <w:spacing w:after="0" w:line="240" w:lineRule="auto"/>
              <w:jc w:val="center"/>
            </w:pPr>
            <w:r>
              <w:rPr>
                <w:b/>
                <w:sz w:val="18"/>
              </w:rPr>
              <w:t>Indeks (%)</w:t>
            </w:r>
          </w:p>
        </w:tc>
      </w:tr>
      <w:tr w:rsidR="002660AA" w14:paraId="1B1261F7" w14:textId="77777777">
        <w:tblPrEx>
          <w:tblCellMar>
            <w:top w:w="0" w:type="dxa"/>
            <w:bottom w:w="0" w:type="dxa"/>
          </w:tblCellMar>
        </w:tblPrEx>
        <w:trPr>
          <w:cantSplit/>
          <w:trHeight w:val="560"/>
        </w:trPr>
        <w:tc>
          <w:tcPr>
            <w:tcW w:w="700" w:type="dxa"/>
            <w:tcMar>
              <w:top w:w="0" w:type="dxa"/>
              <w:bottom w:w="0" w:type="dxa"/>
            </w:tcMar>
            <w:vAlign w:val="center"/>
          </w:tcPr>
          <w:p w14:paraId="39C79A97" w14:textId="77777777" w:rsidR="002660AA" w:rsidRDefault="009B260F">
            <w:pPr>
              <w:keepNext/>
              <w:keepLines/>
              <w:spacing w:after="0" w:line="240" w:lineRule="auto"/>
            </w:pPr>
            <w:r>
              <w:rPr>
                <w:sz w:val="18"/>
              </w:rPr>
              <w:t>02926</w:t>
            </w:r>
          </w:p>
        </w:tc>
        <w:tc>
          <w:tcPr>
            <w:tcW w:w="3180" w:type="dxa"/>
            <w:tcMar>
              <w:top w:w="0" w:type="dxa"/>
              <w:bottom w:w="0" w:type="dxa"/>
            </w:tcMar>
            <w:vAlign w:val="center"/>
          </w:tcPr>
          <w:p w14:paraId="3982722A" w14:textId="77777777" w:rsidR="002660AA" w:rsidRDefault="009B260F">
            <w:pPr>
              <w:keepNext/>
              <w:keepLines/>
              <w:spacing w:after="0" w:line="240" w:lineRule="auto"/>
            </w:pPr>
            <w:r>
              <w:rPr>
                <w:sz w:val="18"/>
              </w:rPr>
              <w:t>Ispravak vrijednosti nematerijalne proizvedene imovine</w:t>
            </w:r>
          </w:p>
        </w:tc>
        <w:tc>
          <w:tcPr>
            <w:tcW w:w="700" w:type="dxa"/>
            <w:tcMar>
              <w:top w:w="0" w:type="dxa"/>
              <w:bottom w:w="0" w:type="dxa"/>
            </w:tcMar>
            <w:vAlign w:val="center"/>
          </w:tcPr>
          <w:p w14:paraId="5C6290E5" w14:textId="77777777" w:rsidR="002660AA" w:rsidRDefault="009B260F">
            <w:pPr>
              <w:keepNext/>
              <w:keepLines/>
              <w:spacing w:after="0" w:line="240" w:lineRule="auto"/>
            </w:pPr>
            <w:r>
              <w:rPr>
                <w:sz w:val="18"/>
              </w:rPr>
              <w:t>02926</w:t>
            </w:r>
          </w:p>
        </w:tc>
        <w:tc>
          <w:tcPr>
            <w:tcW w:w="1860" w:type="dxa"/>
            <w:tcMar>
              <w:top w:w="0" w:type="dxa"/>
              <w:bottom w:w="0" w:type="dxa"/>
            </w:tcMar>
            <w:vAlign w:val="center"/>
          </w:tcPr>
          <w:p w14:paraId="4C5D80A6" w14:textId="77777777" w:rsidR="002660AA" w:rsidRDefault="009B260F">
            <w:pPr>
              <w:keepNext/>
              <w:keepLines/>
              <w:spacing w:after="0" w:line="240" w:lineRule="auto"/>
              <w:jc w:val="right"/>
            </w:pPr>
            <w:r>
              <w:rPr>
                <w:sz w:val="18"/>
              </w:rPr>
              <w:t>675.675,08</w:t>
            </w:r>
          </w:p>
        </w:tc>
        <w:tc>
          <w:tcPr>
            <w:tcW w:w="1860" w:type="dxa"/>
            <w:tcMar>
              <w:top w:w="0" w:type="dxa"/>
              <w:bottom w:w="0" w:type="dxa"/>
            </w:tcMar>
            <w:vAlign w:val="center"/>
          </w:tcPr>
          <w:p w14:paraId="3A1D49E1" w14:textId="77777777" w:rsidR="002660AA" w:rsidRDefault="009B260F">
            <w:pPr>
              <w:keepNext/>
              <w:keepLines/>
              <w:spacing w:after="0" w:line="240" w:lineRule="auto"/>
              <w:jc w:val="right"/>
            </w:pPr>
            <w:r>
              <w:rPr>
                <w:sz w:val="18"/>
              </w:rPr>
              <w:t>731.996,71</w:t>
            </w:r>
          </w:p>
        </w:tc>
        <w:tc>
          <w:tcPr>
            <w:tcW w:w="700" w:type="dxa"/>
            <w:tcMar>
              <w:top w:w="0" w:type="dxa"/>
              <w:bottom w:w="0" w:type="dxa"/>
            </w:tcMar>
            <w:vAlign w:val="center"/>
          </w:tcPr>
          <w:p w14:paraId="10A813F5" w14:textId="77777777" w:rsidR="002660AA" w:rsidRDefault="009B260F">
            <w:pPr>
              <w:keepNext/>
              <w:keepLines/>
              <w:spacing w:after="0" w:line="240" w:lineRule="auto"/>
              <w:jc w:val="right"/>
            </w:pPr>
            <w:r>
              <w:rPr>
                <w:sz w:val="18"/>
              </w:rPr>
              <w:t>108,3</w:t>
            </w:r>
          </w:p>
        </w:tc>
      </w:tr>
    </w:tbl>
    <w:p w14:paraId="2B4510E8" w14:textId="77777777" w:rsidR="002660AA" w:rsidRDefault="002660AA">
      <w:pPr>
        <w:spacing w:after="0"/>
      </w:pPr>
    </w:p>
    <w:p w14:paraId="13A65566" w14:textId="77777777" w:rsidR="002660AA" w:rsidRDefault="009B260F">
      <w:r>
        <w:t>Odjeljak 02926 - Ispravak vrijednosti nematerijalne imovine u 2025. godini bilježi indeks od 108,3 u odnosu na 2024. godinu. Povećanje je rezultat redovnog obračuna ispravka vrijednosti (amortizacije) nematerijalne imovine.</w:t>
      </w:r>
    </w:p>
    <w:p w14:paraId="6F26D79C" w14:textId="77777777" w:rsidR="002660AA" w:rsidRDefault="002660AA"/>
    <w:p w14:paraId="402A664C" w14:textId="77777777" w:rsidR="002660AA" w:rsidRDefault="009B260F">
      <w:pPr>
        <w:keepNext/>
        <w:spacing w:line="240" w:lineRule="auto"/>
        <w:jc w:val="center"/>
      </w:pPr>
      <w:r>
        <w:rPr>
          <w:sz w:val="28"/>
        </w:rPr>
        <w:t>Bilješka 119.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318AD1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5A3375E"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18FEF1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9D4D67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5349682"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1D7EB5B2"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210D378C" w14:textId="77777777" w:rsidR="002660AA" w:rsidRDefault="009B260F">
            <w:pPr>
              <w:keepNext/>
              <w:keepLines/>
              <w:spacing w:after="0" w:line="240" w:lineRule="auto"/>
              <w:jc w:val="center"/>
            </w:pPr>
            <w:r>
              <w:rPr>
                <w:b/>
                <w:sz w:val="18"/>
              </w:rPr>
              <w:t>Indeks (%)</w:t>
            </w:r>
          </w:p>
        </w:tc>
      </w:tr>
      <w:tr w:rsidR="002660AA" w14:paraId="2147619E" w14:textId="77777777">
        <w:tblPrEx>
          <w:tblCellMar>
            <w:top w:w="0" w:type="dxa"/>
            <w:bottom w:w="0" w:type="dxa"/>
          </w:tblCellMar>
        </w:tblPrEx>
        <w:trPr>
          <w:cantSplit/>
          <w:trHeight w:val="560"/>
        </w:trPr>
        <w:tc>
          <w:tcPr>
            <w:tcW w:w="700" w:type="dxa"/>
            <w:tcMar>
              <w:top w:w="0" w:type="dxa"/>
              <w:bottom w:w="0" w:type="dxa"/>
            </w:tcMar>
            <w:vAlign w:val="center"/>
          </w:tcPr>
          <w:p w14:paraId="34B4D373" w14:textId="77777777" w:rsidR="002660AA" w:rsidRDefault="009B260F">
            <w:pPr>
              <w:keepNext/>
              <w:keepLines/>
              <w:spacing w:after="0" w:line="240" w:lineRule="auto"/>
            </w:pPr>
            <w:r>
              <w:rPr>
                <w:sz w:val="18"/>
              </w:rPr>
              <w:t>051</w:t>
            </w:r>
          </w:p>
        </w:tc>
        <w:tc>
          <w:tcPr>
            <w:tcW w:w="3180" w:type="dxa"/>
            <w:tcMar>
              <w:top w:w="0" w:type="dxa"/>
              <w:bottom w:w="0" w:type="dxa"/>
            </w:tcMar>
            <w:vAlign w:val="center"/>
          </w:tcPr>
          <w:p w14:paraId="1820ADEF" w14:textId="77777777" w:rsidR="002660AA" w:rsidRDefault="009B260F">
            <w:pPr>
              <w:keepNext/>
              <w:keepLines/>
              <w:spacing w:after="0" w:line="240" w:lineRule="auto"/>
            </w:pPr>
            <w:r>
              <w:rPr>
                <w:sz w:val="18"/>
              </w:rPr>
              <w:t>Građevinski objekti u pripremi</w:t>
            </w:r>
          </w:p>
        </w:tc>
        <w:tc>
          <w:tcPr>
            <w:tcW w:w="700" w:type="dxa"/>
            <w:tcMar>
              <w:top w:w="0" w:type="dxa"/>
              <w:bottom w:w="0" w:type="dxa"/>
            </w:tcMar>
            <w:vAlign w:val="center"/>
          </w:tcPr>
          <w:p w14:paraId="38BD646B" w14:textId="77777777" w:rsidR="002660AA" w:rsidRDefault="009B260F">
            <w:pPr>
              <w:keepNext/>
              <w:keepLines/>
              <w:spacing w:after="0" w:line="240" w:lineRule="auto"/>
            </w:pPr>
            <w:r>
              <w:rPr>
                <w:sz w:val="18"/>
              </w:rPr>
              <w:t>051</w:t>
            </w:r>
          </w:p>
        </w:tc>
        <w:tc>
          <w:tcPr>
            <w:tcW w:w="1860" w:type="dxa"/>
            <w:tcMar>
              <w:top w:w="0" w:type="dxa"/>
              <w:bottom w:w="0" w:type="dxa"/>
            </w:tcMar>
            <w:vAlign w:val="center"/>
          </w:tcPr>
          <w:p w14:paraId="54C2385C" w14:textId="77777777" w:rsidR="002660AA" w:rsidRDefault="009B260F">
            <w:pPr>
              <w:keepNext/>
              <w:keepLines/>
              <w:spacing w:after="0" w:line="240" w:lineRule="auto"/>
              <w:jc w:val="right"/>
            </w:pPr>
            <w:r>
              <w:rPr>
                <w:sz w:val="18"/>
              </w:rPr>
              <w:t>4.790.593,29</w:t>
            </w:r>
          </w:p>
        </w:tc>
        <w:tc>
          <w:tcPr>
            <w:tcW w:w="1860" w:type="dxa"/>
            <w:tcMar>
              <w:top w:w="0" w:type="dxa"/>
              <w:bottom w:w="0" w:type="dxa"/>
            </w:tcMar>
            <w:vAlign w:val="center"/>
          </w:tcPr>
          <w:p w14:paraId="39F8F2F2" w14:textId="77777777" w:rsidR="002660AA" w:rsidRDefault="009B260F">
            <w:pPr>
              <w:keepNext/>
              <w:keepLines/>
              <w:spacing w:after="0" w:line="240" w:lineRule="auto"/>
              <w:jc w:val="right"/>
            </w:pPr>
            <w:r>
              <w:rPr>
                <w:sz w:val="18"/>
              </w:rPr>
              <w:t>13.341.900,09</w:t>
            </w:r>
          </w:p>
        </w:tc>
        <w:tc>
          <w:tcPr>
            <w:tcW w:w="700" w:type="dxa"/>
            <w:tcMar>
              <w:top w:w="0" w:type="dxa"/>
              <w:bottom w:w="0" w:type="dxa"/>
            </w:tcMar>
            <w:vAlign w:val="center"/>
          </w:tcPr>
          <w:p w14:paraId="1E8CF95F" w14:textId="77777777" w:rsidR="002660AA" w:rsidRDefault="009B260F">
            <w:pPr>
              <w:keepNext/>
              <w:keepLines/>
              <w:spacing w:after="0" w:line="240" w:lineRule="auto"/>
              <w:jc w:val="right"/>
            </w:pPr>
            <w:r>
              <w:rPr>
                <w:sz w:val="18"/>
              </w:rPr>
              <w:t>278,5</w:t>
            </w:r>
          </w:p>
        </w:tc>
      </w:tr>
    </w:tbl>
    <w:p w14:paraId="4A78B567" w14:textId="77777777" w:rsidR="002660AA" w:rsidRDefault="002660AA">
      <w:pPr>
        <w:spacing w:after="0"/>
      </w:pPr>
    </w:p>
    <w:p w14:paraId="13D40371" w14:textId="77777777" w:rsidR="002660AA" w:rsidRDefault="009B260F">
      <w:r>
        <w:t>Podskupina 051 – Građevinski objekti u pripremi u 2025. godini iznosi 13.344.752,09 EUR, dok je u 2024. godini iznosila 4.790.593,29 EUR, što predstavlja indeks od 278,6. Značajan rast rezultat je investicija u tijeku koje do kraja izvještajnog razdoblja nisu dovršene niti prenesene u uporabu, uključujući projekte poput Izgradnja Znanstveno-inovacijskog parka – ITU, Dogradnja Osnovne škole „Braća Radić“, Energetska obnova Osnovne škole „Đuro Ester“…</w:t>
      </w:r>
    </w:p>
    <w:p w14:paraId="4794C36B" w14:textId="77777777" w:rsidR="002660AA" w:rsidRDefault="002660AA"/>
    <w:p w14:paraId="3119B0A5" w14:textId="77777777" w:rsidR="002660AA" w:rsidRDefault="009B260F">
      <w:pPr>
        <w:keepNext/>
        <w:spacing w:line="240" w:lineRule="auto"/>
        <w:jc w:val="center"/>
      </w:pPr>
      <w:r>
        <w:rPr>
          <w:sz w:val="28"/>
        </w:rPr>
        <w:t>Bilješka 120.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47FAB9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19A7C7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EA4AE0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EB4239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FC75AA3"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6DECEAF7"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34FEF812" w14:textId="77777777" w:rsidR="002660AA" w:rsidRDefault="009B260F">
            <w:pPr>
              <w:keepNext/>
              <w:keepLines/>
              <w:spacing w:after="0" w:line="240" w:lineRule="auto"/>
              <w:jc w:val="center"/>
            </w:pPr>
            <w:r>
              <w:rPr>
                <w:b/>
                <w:sz w:val="18"/>
              </w:rPr>
              <w:t>Indeks (%)</w:t>
            </w:r>
          </w:p>
        </w:tc>
      </w:tr>
      <w:tr w:rsidR="002660AA" w14:paraId="6B8370FA" w14:textId="77777777">
        <w:tblPrEx>
          <w:tblCellMar>
            <w:top w:w="0" w:type="dxa"/>
            <w:bottom w:w="0" w:type="dxa"/>
          </w:tblCellMar>
        </w:tblPrEx>
        <w:trPr>
          <w:cantSplit/>
          <w:trHeight w:val="560"/>
        </w:trPr>
        <w:tc>
          <w:tcPr>
            <w:tcW w:w="700" w:type="dxa"/>
            <w:tcMar>
              <w:top w:w="0" w:type="dxa"/>
              <w:bottom w:w="0" w:type="dxa"/>
            </w:tcMar>
            <w:vAlign w:val="center"/>
          </w:tcPr>
          <w:p w14:paraId="20E5E27F" w14:textId="77777777" w:rsidR="002660AA" w:rsidRDefault="009B260F">
            <w:pPr>
              <w:keepNext/>
              <w:keepLines/>
              <w:spacing w:after="0" w:line="240" w:lineRule="auto"/>
            </w:pPr>
            <w:r>
              <w:rPr>
                <w:sz w:val="18"/>
              </w:rPr>
              <w:t>055</w:t>
            </w:r>
          </w:p>
        </w:tc>
        <w:tc>
          <w:tcPr>
            <w:tcW w:w="3180" w:type="dxa"/>
            <w:tcMar>
              <w:top w:w="0" w:type="dxa"/>
              <w:bottom w:w="0" w:type="dxa"/>
            </w:tcMar>
            <w:vAlign w:val="center"/>
          </w:tcPr>
          <w:p w14:paraId="2E2EEF8A" w14:textId="77777777" w:rsidR="002660AA" w:rsidRDefault="009B260F">
            <w:pPr>
              <w:keepNext/>
              <w:keepLines/>
              <w:spacing w:after="0" w:line="240" w:lineRule="auto"/>
            </w:pPr>
            <w:r>
              <w:rPr>
                <w:sz w:val="18"/>
              </w:rPr>
              <w:t>Ostala nematerijalna proizvedena imovina u pripremi</w:t>
            </w:r>
          </w:p>
        </w:tc>
        <w:tc>
          <w:tcPr>
            <w:tcW w:w="700" w:type="dxa"/>
            <w:tcMar>
              <w:top w:w="0" w:type="dxa"/>
              <w:bottom w:w="0" w:type="dxa"/>
            </w:tcMar>
            <w:vAlign w:val="center"/>
          </w:tcPr>
          <w:p w14:paraId="59A84CF6" w14:textId="77777777" w:rsidR="002660AA" w:rsidRDefault="009B260F">
            <w:pPr>
              <w:keepNext/>
              <w:keepLines/>
              <w:spacing w:after="0" w:line="240" w:lineRule="auto"/>
            </w:pPr>
            <w:r>
              <w:rPr>
                <w:sz w:val="18"/>
              </w:rPr>
              <w:t>055</w:t>
            </w:r>
          </w:p>
        </w:tc>
        <w:tc>
          <w:tcPr>
            <w:tcW w:w="1860" w:type="dxa"/>
            <w:tcMar>
              <w:top w:w="0" w:type="dxa"/>
              <w:bottom w:w="0" w:type="dxa"/>
            </w:tcMar>
            <w:vAlign w:val="center"/>
          </w:tcPr>
          <w:p w14:paraId="289D4C51"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358575D3" w14:textId="77777777" w:rsidR="002660AA" w:rsidRDefault="009B260F">
            <w:pPr>
              <w:keepNext/>
              <w:keepLines/>
              <w:spacing w:after="0" w:line="240" w:lineRule="auto"/>
              <w:jc w:val="right"/>
            </w:pPr>
            <w:r>
              <w:rPr>
                <w:sz w:val="18"/>
              </w:rPr>
              <w:t>2.852,00</w:t>
            </w:r>
          </w:p>
        </w:tc>
        <w:tc>
          <w:tcPr>
            <w:tcW w:w="700" w:type="dxa"/>
            <w:tcMar>
              <w:top w:w="0" w:type="dxa"/>
              <w:bottom w:w="0" w:type="dxa"/>
            </w:tcMar>
            <w:vAlign w:val="center"/>
          </w:tcPr>
          <w:p w14:paraId="5C05F48B" w14:textId="77777777" w:rsidR="002660AA" w:rsidRDefault="009B260F">
            <w:pPr>
              <w:keepNext/>
              <w:keepLines/>
              <w:spacing w:after="0" w:line="240" w:lineRule="auto"/>
              <w:jc w:val="right"/>
            </w:pPr>
            <w:r>
              <w:rPr>
                <w:sz w:val="18"/>
              </w:rPr>
              <w:t>-</w:t>
            </w:r>
          </w:p>
        </w:tc>
      </w:tr>
    </w:tbl>
    <w:p w14:paraId="2C922A05" w14:textId="77777777" w:rsidR="002660AA" w:rsidRDefault="002660AA">
      <w:pPr>
        <w:spacing w:after="0"/>
      </w:pPr>
    </w:p>
    <w:p w14:paraId="7E62DDC0" w14:textId="77777777" w:rsidR="002660AA" w:rsidRDefault="009B260F">
      <w:r>
        <w:t>Podskupina 055 – Ostala nematerijalna proizvedena imovina u pripremi u 2025. godini iznosi 2.852,00 EUR. Navedeni iznos odnosi se na ulaganja vezana uz pripremu investicije uređenja Cvjetne ulice, uključujući troškove povezane s pribavljanjem zemljišta za realizaciju projekta.</w:t>
      </w:r>
    </w:p>
    <w:p w14:paraId="31E20A15" w14:textId="77777777" w:rsidR="002660AA" w:rsidRDefault="002660AA"/>
    <w:p w14:paraId="47A9A0DE" w14:textId="77777777" w:rsidR="002660AA" w:rsidRDefault="009B260F">
      <w:pPr>
        <w:keepNext/>
        <w:spacing w:line="240" w:lineRule="auto"/>
        <w:jc w:val="center"/>
      </w:pPr>
      <w:r>
        <w:rPr>
          <w:sz w:val="28"/>
        </w:rPr>
        <w:t>Bilješka 121.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F310CD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18D4B4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48E9CF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E28A15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7C1AEB7"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3C5879D9"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29474BBB" w14:textId="77777777" w:rsidR="002660AA" w:rsidRDefault="009B260F">
            <w:pPr>
              <w:keepNext/>
              <w:keepLines/>
              <w:spacing w:after="0" w:line="240" w:lineRule="auto"/>
              <w:jc w:val="center"/>
            </w:pPr>
            <w:r>
              <w:rPr>
                <w:b/>
                <w:sz w:val="18"/>
              </w:rPr>
              <w:t>Indeks (%)</w:t>
            </w:r>
          </w:p>
        </w:tc>
      </w:tr>
      <w:tr w:rsidR="002660AA" w14:paraId="66D45D06" w14:textId="77777777">
        <w:tblPrEx>
          <w:tblCellMar>
            <w:top w:w="0" w:type="dxa"/>
            <w:bottom w:w="0" w:type="dxa"/>
          </w:tblCellMar>
        </w:tblPrEx>
        <w:trPr>
          <w:cantSplit/>
          <w:trHeight w:val="560"/>
        </w:trPr>
        <w:tc>
          <w:tcPr>
            <w:tcW w:w="700" w:type="dxa"/>
            <w:tcMar>
              <w:top w:w="0" w:type="dxa"/>
              <w:bottom w:w="0" w:type="dxa"/>
            </w:tcMar>
            <w:vAlign w:val="center"/>
          </w:tcPr>
          <w:p w14:paraId="07C76284" w14:textId="77777777" w:rsidR="002660AA" w:rsidRDefault="009B260F">
            <w:pPr>
              <w:keepNext/>
              <w:keepLines/>
              <w:spacing w:after="0" w:line="240" w:lineRule="auto"/>
            </w:pPr>
            <w:r>
              <w:rPr>
                <w:sz w:val="18"/>
              </w:rPr>
              <w:t>11</w:t>
            </w:r>
          </w:p>
        </w:tc>
        <w:tc>
          <w:tcPr>
            <w:tcW w:w="3180" w:type="dxa"/>
            <w:tcMar>
              <w:top w:w="0" w:type="dxa"/>
              <w:bottom w:w="0" w:type="dxa"/>
            </w:tcMar>
            <w:vAlign w:val="center"/>
          </w:tcPr>
          <w:p w14:paraId="071B0878" w14:textId="77777777" w:rsidR="002660AA" w:rsidRDefault="009B260F">
            <w:pPr>
              <w:keepNext/>
              <w:keepLines/>
              <w:spacing w:after="0" w:line="240" w:lineRule="auto"/>
            </w:pPr>
            <w:r>
              <w:rPr>
                <w:sz w:val="18"/>
              </w:rPr>
              <w:t>Novac u banci i blagajni (šifre 111+112 do 114)</w:t>
            </w:r>
          </w:p>
        </w:tc>
        <w:tc>
          <w:tcPr>
            <w:tcW w:w="700" w:type="dxa"/>
            <w:tcMar>
              <w:top w:w="0" w:type="dxa"/>
              <w:bottom w:w="0" w:type="dxa"/>
            </w:tcMar>
            <w:vAlign w:val="center"/>
          </w:tcPr>
          <w:p w14:paraId="3320A502" w14:textId="77777777" w:rsidR="002660AA" w:rsidRDefault="009B260F">
            <w:pPr>
              <w:keepNext/>
              <w:keepLines/>
              <w:spacing w:after="0" w:line="240" w:lineRule="auto"/>
            </w:pPr>
            <w:r>
              <w:rPr>
                <w:sz w:val="18"/>
              </w:rPr>
              <w:t>11</w:t>
            </w:r>
          </w:p>
        </w:tc>
        <w:tc>
          <w:tcPr>
            <w:tcW w:w="1860" w:type="dxa"/>
            <w:tcMar>
              <w:top w:w="0" w:type="dxa"/>
              <w:bottom w:w="0" w:type="dxa"/>
            </w:tcMar>
            <w:vAlign w:val="center"/>
          </w:tcPr>
          <w:p w14:paraId="06670729" w14:textId="77777777" w:rsidR="002660AA" w:rsidRDefault="009B260F">
            <w:pPr>
              <w:keepNext/>
              <w:keepLines/>
              <w:spacing w:after="0" w:line="240" w:lineRule="auto"/>
              <w:jc w:val="right"/>
            </w:pPr>
            <w:r>
              <w:rPr>
                <w:sz w:val="18"/>
              </w:rPr>
              <w:t>3.532.339,01</w:t>
            </w:r>
          </w:p>
        </w:tc>
        <w:tc>
          <w:tcPr>
            <w:tcW w:w="1860" w:type="dxa"/>
            <w:tcMar>
              <w:top w:w="0" w:type="dxa"/>
              <w:bottom w:w="0" w:type="dxa"/>
            </w:tcMar>
            <w:vAlign w:val="center"/>
          </w:tcPr>
          <w:p w14:paraId="398A63AC" w14:textId="77777777" w:rsidR="002660AA" w:rsidRDefault="009B260F">
            <w:pPr>
              <w:keepNext/>
              <w:keepLines/>
              <w:spacing w:after="0" w:line="240" w:lineRule="auto"/>
              <w:jc w:val="right"/>
            </w:pPr>
            <w:r>
              <w:rPr>
                <w:sz w:val="18"/>
              </w:rPr>
              <w:t>4.147.461,86</w:t>
            </w:r>
          </w:p>
        </w:tc>
        <w:tc>
          <w:tcPr>
            <w:tcW w:w="700" w:type="dxa"/>
            <w:tcMar>
              <w:top w:w="0" w:type="dxa"/>
              <w:bottom w:w="0" w:type="dxa"/>
            </w:tcMar>
            <w:vAlign w:val="center"/>
          </w:tcPr>
          <w:p w14:paraId="0D1E84AB" w14:textId="77777777" w:rsidR="002660AA" w:rsidRDefault="009B260F">
            <w:pPr>
              <w:keepNext/>
              <w:keepLines/>
              <w:spacing w:after="0" w:line="240" w:lineRule="auto"/>
              <w:jc w:val="right"/>
            </w:pPr>
            <w:r>
              <w:rPr>
                <w:sz w:val="18"/>
              </w:rPr>
              <w:t>117,4</w:t>
            </w:r>
          </w:p>
        </w:tc>
      </w:tr>
    </w:tbl>
    <w:p w14:paraId="7C01A543" w14:textId="77777777" w:rsidR="002660AA" w:rsidRDefault="002660AA">
      <w:pPr>
        <w:spacing w:after="0"/>
      </w:pPr>
    </w:p>
    <w:p w14:paraId="662E05BB" w14:textId="77777777" w:rsidR="002660AA" w:rsidRDefault="009B260F">
      <w:r>
        <w:t>Skupina 11 - Novac u banci i blagajni u 2025. godini bilježi indeks od 117,4 u odnosu na 2024. godinu, pri čemu je stanje povećano s 3.532.339,01 EUR na 4.147.461,86 EUR. Povećanje se prvenstveno odnosi na odjeljak 111 - Novac u banci, gdje je evidentiran rast novčanih sredstava na računima kod tuzemnih poslovnih banaka. Istodobno, u 2024. godini u okviru odjeljka 112 - Izdvojena novčana sredstva bilo je evidentirano stanje oročenih sredstava u iznosu od 1.500.000,00 EUR, dok u 2025. godini na dan 31. prosi</w:t>
      </w:r>
      <w:r>
        <w:t>nca nisu bila evidentirana oročena sredstva.</w:t>
      </w:r>
    </w:p>
    <w:p w14:paraId="0E9EC3A8" w14:textId="77777777" w:rsidR="002660AA" w:rsidRDefault="002660AA"/>
    <w:p w14:paraId="7BC4CD02" w14:textId="77777777" w:rsidR="002660AA" w:rsidRDefault="009B260F">
      <w:pPr>
        <w:keepNext/>
        <w:spacing w:line="240" w:lineRule="auto"/>
        <w:jc w:val="center"/>
      </w:pPr>
      <w:r>
        <w:rPr>
          <w:sz w:val="28"/>
        </w:rPr>
        <w:t>Bilješka 122.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5F3E2C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7F9C2C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3B252A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B192B3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F9B4AA0"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538AA2C8"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893B783" w14:textId="77777777" w:rsidR="002660AA" w:rsidRDefault="009B260F">
            <w:pPr>
              <w:keepNext/>
              <w:keepLines/>
              <w:spacing w:after="0" w:line="240" w:lineRule="auto"/>
              <w:jc w:val="center"/>
            </w:pPr>
            <w:r>
              <w:rPr>
                <w:b/>
                <w:sz w:val="18"/>
              </w:rPr>
              <w:t>Indeks (%)</w:t>
            </w:r>
          </w:p>
        </w:tc>
      </w:tr>
      <w:tr w:rsidR="002660AA" w14:paraId="42F45CA7" w14:textId="77777777">
        <w:tblPrEx>
          <w:tblCellMar>
            <w:top w:w="0" w:type="dxa"/>
            <w:bottom w:w="0" w:type="dxa"/>
          </w:tblCellMar>
        </w:tblPrEx>
        <w:trPr>
          <w:cantSplit/>
          <w:trHeight w:val="560"/>
        </w:trPr>
        <w:tc>
          <w:tcPr>
            <w:tcW w:w="700" w:type="dxa"/>
            <w:tcMar>
              <w:top w:w="0" w:type="dxa"/>
              <w:bottom w:w="0" w:type="dxa"/>
            </w:tcMar>
            <w:vAlign w:val="center"/>
          </w:tcPr>
          <w:p w14:paraId="18508D85" w14:textId="77777777" w:rsidR="002660AA" w:rsidRDefault="009B260F">
            <w:pPr>
              <w:keepNext/>
              <w:keepLines/>
              <w:spacing w:after="0" w:line="240" w:lineRule="auto"/>
            </w:pPr>
            <w:r>
              <w:rPr>
                <w:sz w:val="18"/>
              </w:rPr>
              <w:t>129</w:t>
            </w:r>
          </w:p>
        </w:tc>
        <w:tc>
          <w:tcPr>
            <w:tcW w:w="3180" w:type="dxa"/>
            <w:tcMar>
              <w:top w:w="0" w:type="dxa"/>
              <w:bottom w:w="0" w:type="dxa"/>
            </w:tcMar>
            <w:vAlign w:val="center"/>
          </w:tcPr>
          <w:p w14:paraId="6551DFE3" w14:textId="77777777" w:rsidR="002660AA" w:rsidRDefault="009B260F">
            <w:pPr>
              <w:keepNext/>
              <w:keepLines/>
              <w:spacing w:after="0" w:line="240" w:lineRule="auto"/>
            </w:pPr>
            <w:r>
              <w:rPr>
                <w:sz w:val="18"/>
              </w:rPr>
              <w:t>Ostala potraživanja</w:t>
            </w:r>
          </w:p>
        </w:tc>
        <w:tc>
          <w:tcPr>
            <w:tcW w:w="700" w:type="dxa"/>
            <w:tcMar>
              <w:top w:w="0" w:type="dxa"/>
              <w:bottom w:w="0" w:type="dxa"/>
            </w:tcMar>
            <w:vAlign w:val="center"/>
          </w:tcPr>
          <w:p w14:paraId="1106E6A1" w14:textId="77777777" w:rsidR="002660AA" w:rsidRDefault="009B260F">
            <w:pPr>
              <w:keepNext/>
              <w:keepLines/>
              <w:spacing w:after="0" w:line="240" w:lineRule="auto"/>
            </w:pPr>
            <w:r>
              <w:rPr>
                <w:sz w:val="18"/>
              </w:rPr>
              <w:t>129</w:t>
            </w:r>
          </w:p>
        </w:tc>
        <w:tc>
          <w:tcPr>
            <w:tcW w:w="1860" w:type="dxa"/>
            <w:tcMar>
              <w:top w:w="0" w:type="dxa"/>
              <w:bottom w:w="0" w:type="dxa"/>
            </w:tcMar>
            <w:vAlign w:val="center"/>
          </w:tcPr>
          <w:p w14:paraId="50CA55D3" w14:textId="77777777" w:rsidR="002660AA" w:rsidRDefault="009B260F">
            <w:pPr>
              <w:keepNext/>
              <w:keepLines/>
              <w:spacing w:after="0" w:line="240" w:lineRule="auto"/>
              <w:jc w:val="right"/>
            </w:pPr>
            <w:r>
              <w:rPr>
                <w:sz w:val="18"/>
              </w:rPr>
              <w:t>80.876,02</w:t>
            </w:r>
          </w:p>
        </w:tc>
        <w:tc>
          <w:tcPr>
            <w:tcW w:w="1860" w:type="dxa"/>
            <w:tcMar>
              <w:top w:w="0" w:type="dxa"/>
              <w:bottom w:w="0" w:type="dxa"/>
            </w:tcMar>
            <w:vAlign w:val="center"/>
          </w:tcPr>
          <w:p w14:paraId="7D4B675A" w14:textId="77777777" w:rsidR="002660AA" w:rsidRDefault="009B260F">
            <w:pPr>
              <w:keepNext/>
              <w:keepLines/>
              <w:spacing w:after="0" w:line="240" w:lineRule="auto"/>
              <w:jc w:val="right"/>
            </w:pPr>
            <w:r>
              <w:rPr>
                <w:sz w:val="18"/>
              </w:rPr>
              <w:t>482.920,31</w:t>
            </w:r>
          </w:p>
        </w:tc>
        <w:tc>
          <w:tcPr>
            <w:tcW w:w="700" w:type="dxa"/>
            <w:tcMar>
              <w:top w:w="0" w:type="dxa"/>
              <w:bottom w:w="0" w:type="dxa"/>
            </w:tcMar>
            <w:vAlign w:val="center"/>
          </w:tcPr>
          <w:p w14:paraId="50C8D085" w14:textId="77777777" w:rsidR="002660AA" w:rsidRDefault="009B260F">
            <w:pPr>
              <w:keepNext/>
              <w:keepLines/>
              <w:spacing w:after="0" w:line="240" w:lineRule="auto"/>
              <w:jc w:val="right"/>
            </w:pPr>
            <w:r>
              <w:rPr>
                <w:sz w:val="18"/>
              </w:rPr>
              <w:t>597,1</w:t>
            </w:r>
          </w:p>
        </w:tc>
      </w:tr>
    </w:tbl>
    <w:p w14:paraId="33934072" w14:textId="77777777" w:rsidR="002660AA" w:rsidRDefault="002660AA">
      <w:pPr>
        <w:spacing w:after="0"/>
      </w:pPr>
    </w:p>
    <w:p w14:paraId="331C1DB9" w14:textId="77777777" w:rsidR="002660AA" w:rsidRDefault="009B260F">
      <w:r>
        <w:t>Odjeljak 129 - Ostala potraživanja u 2025. godini bilježi povećanje u odnosu na 2024. godinu, pri čemu su ostala potraživanja ostvarena u iznosu od 482.920,31 EUR, dok su u 2024. godini iznosila 80.876,02 EUR, što predstavlja indeks od 597,1. Povećanje je rezultat usklađenja i pravilnijeg evidentiranja potraživanja u poslovnim knjigama tijekom izvještajnog razdoblja.</w:t>
      </w:r>
    </w:p>
    <w:p w14:paraId="58AD008C" w14:textId="77777777" w:rsidR="002660AA" w:rsidRDefault="002660AA"/>
    <w:p w14:paraId="7FFAD97D" w14:textId="77777777" w:rsidR="002660AA" w:rsidRDefault="009B260F">
      <w:pPr>
        <w:keepNext/>
        <w:spacing w:line="240" w:lineRule="auto"/>
        <w:jc w:val="center"/>
      </w:pPr>
      <w:r>
        <w:rPr>
          <w:sz w:val="28"/>
        </w:rPr>
        <w:t>Bilješka 123.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A5E9DFC"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576A06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2F52D9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2E207D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452A53B"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3199AD23"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F93F659" w14:textId="77777777" w:rsidR="002660AA" w:rsidRDefault="009B260F">
            <w:pPr>
              <w:keepNext/>
              <w:keepLines/>
              <w:spacing w:after="0" w:line="240" w:lineRule="auto"/>
              <w:jc w:val="center"/>
            </w:pPr>
            <w:r>
              <w:rPr>
                <w:b/>
                <w:sz w:val="18"/>
              </w:rPr>
              <w:t>Indeks (%)</w:t>
            </w:r>
          </w:p>
        </w:tc>
      </w:tr>
      <w:tr w:rsidR="002660AA" w14:paraId="27A6721A" w14:textId="77777777">
        <w:tblPrEx>
          <w:tblCellMar>
            <w:top w:w="0" w:type="dxa"/>
            <w:bottom w:w="0" w:type="dxa"/>
          </w:tblCellMar>
        </w:tblPrEx>
        <w:trPr>
          <w:cantSplit/>
          <w:trHeight w:val="560"/>
        </w:trPr>
        <w:tc>
          <w:tcPr>
            <w:tcW w:w="700" w:type="dxa"/>
            <w:tcMar>
              <w:top w:w="0" w:type="dxa"/>
              <w:bottom w:w="0" w:type="dxa"/>
            </w:tcMar>
            <w:vAlign w:val="center"/>
          </w:tcPr>
          <w:p w14:paraId="3ADF8485" w14:textId="77777777" w:rsidR="002660AA" w:rsidRDefault="009B260F">
            <w:pPr>
              <w:keepNext/>
              <w:keepLines/>
              <w:spacing w:after="0" w:line="240" w:lineRule="auto"/>
            </w:pPr>
            <w:r>
              <w:rPr>
                <w:sz w:val="18"/>
              </w:rPr>
              <w:t>16</w:t>
            </w:r>
          </w:p>
        </w:tc>
        <w:tc>
          <w:tcPr>
            <w:tcW w:w="3180" w:type="dxa"/>
            <w:tcMar>
              <w:top w:w="0" w:type="dxa"/>
              <w:bottom w:w="0" w:type="dxa"/>
            </w:tcMar>
            <w:vAlign w:val="center"/>
          </w:tcPr>
          <w:p w14:paraId="2BEBB018" w14:textId="77777777" w:rsidR="002660AA" w:rsidRDefault="009B260F">
            <w:pPr>
              <w:keepNext/>
              <w:keepLines/>
              <w:spacing w:after="0" w:line="240" w:lineRule="auto"/>
            </w:pPr>
            <w:r>
              <w:rPr>
                <w:sz w:val="18"/>
              </w:rPr>
              <w:t>Potraživanja za prihode poslovanja (šifre 161 do 163 + 164 do 168-169)</w:t>
            </w:r>
          </w:p>
        </w:tc>
        <w:tc>
          <w:tcPr>
            <w:tcW w:w="700" w:type="dxa"/>
            <w:tcMar>
              <w:top w:w="0" w:type="dxa"/>
              <w:bottom w:w="0" w:type="dxa"/>
            </w:tcMar>
            <w:vAlign w:val="center"/>
          </w:tcPr>
          <w:p w14:paraId="0BCF5107" w14:textId="77777777" w:rsidR="002660AA" w:rsidRDefault="009B260F">
            <w:pPr>
              <w:keepNext/>
              <w:keepLines/>
              <w:spacing w:after="0" w:line="240" w:lineRule="auto"/>
            </w:pPr>
            <w:r>
              <w:rPr>
                <w:sz w:val="18"/>
              </w:rPr>
              <w:t>16</w:t>
            </w:r>
          </w:p>
        </w:tc>
        <w:tc>
          <w:tcPr>
            <w:tcW w:w="1860" w:type="dxa"/>
            <w:tcMar>
              <w:top w:w="0" w:type="dxa"/>
              <w:bottom w:w="0" w:type="dxa"/>
            </w:tcMar>
            <w:vAlign w:val="center"/>
          </w:tcPr>
          <w:p w14:paraId="2B6437E3" w14:textId="77777777" w:rsidR="002660AA" w:rsidRDefault="009B260F">
            <w:pPr>
              <w:keepNext/>
              <w:keepLines/>
              <w:spacing w:after="0" w:line="240" w:lineRule="auto"/>
              <w:jc w:val="right"/>
            </w:pPr>
            <w:r>
              <w:rPr>
                <w:sz w:val="18"/>
              </w:rPr>
              <w:t>748.504,89</w:t>
            </w:r>
          </w:p>
        </w:tc>
        <w:tc>
          <w:tcPr>
            <w:tcW w:w="1860" w:type="dxa"/>
            <w:tcMar>
              <w:top w:w="0" w:type="dxa"/>
              <w:bottom w:w="0" w:type="dxa"/>
            </w:tcMar>
            <w:vAlign w:val="center"/>
          </w:tcPr>
          <w:p w14:paraId="3EC0B7BD" w14:textId="77777777" w:rsidR="002660AA" w:rsidRDefault="009B260F">
            <w:pPr>
              <w:keepNext/>
              <w:keepLines/>
              <w:spacing w:after="0" w:line="240" w:lineRule="auto"/>
              <w:jc w:val="right"/>
            </w:pPr>
            <w:r>
              <w:rPr>
                <w:sz w:val="18"/>
              </w:rPr>
              <w:t>1.543.563,89</w:t>
            </w:r>
          </w:p>
        </w:tc>
        <w:tc>
          <w:tcPr>
            <w:tcW w:w="700" w:type="dxa"/>
            <w:tcMar>
              <w:top w:w="0" w:type="dxa"/>
              <w:bottom w:w="0" w:type="dxa"/>
            </w:tcMar>
            <w:vAlign w:val="center"/>
          </w:tcPr>
          <w:p w14:paraId="025590F3" w14:textId="77777777" w:rsidR="002660AA" w:rsidRDefault="009B260F">
            <w:pPr>
              <w:keepNext/>
              <w:keepLines/>
              <w:spacing w:after="0" w:line="240" w:lineRule="auto"/>
              <w:jc w:val="right"/>
            </w:pPr>
            <w:r>
              <w:rPr>
                <w:sz w:val="18"/>
              </w:rPr>
              <w:t>206,2</w:t>
            </w:r>
          </w:p>
        </w:tc>
      </w:tr>
    </w:tbl>
    <w:p w14:paraId="37740F4A" w14:textId="77777777" w:rsidR="002660AA" w:rsidRDefault="002660AA">
      <w:pPr>
        <w:spacing w:after="0"/>
      </w:pPr>
    </w:p>
    <w:p w14:paraId="7A7B4B11" w14:textId="77777777" w:rsidR="002660AA" w:rsidRDefault="009B260F">
      <w:r>
        <w:t>Skupina 16 - Potraživanja za prihode poslovanja u 2025. godini iznose 1.543.563,89 EUR, dok su u 2024. godini iznosila 748.504,89 EUR, što predstavlja indeks od 206,2. Potraživanja za poreze bilježe smanjenje (indeks 82,2), dok su potraživanja za pomoći iz inozemstva i od subjekata unutar općeg proračuna značajno porasla, s 171.797,54 EUR u 2024. godini na 1.147.151,09 EUR u 2025. godini (indeks 667,7). Značajan rast potraživanja za pomoći odnosi se prvenstveno na potraživanja temeljem prijenosa sredstava E</w:t>
      </w:r>
      <w:r>
        <w:t>uropske unije za projekte kao što su Sortirnica Herešin, ITU tehnička pomoć, Dogradnja Osnovne škole „Braća Radić“, Dječji vrtić Bajer...</w:t>
      </w:r>
    </w:p>
    <w:p w14:paraId="66FBCC6D" w14:textId="77777777" w:rsidR="002660AA" w:rsidRDefault="002660AA"/>
    <w:p w14:paraId="64DE582C" w14:textId="77777777" w:rsidR="002660AA" w:rsidRDefault="009B260F">
      <w:pPr>
        <w:keepNext/>
        <w:spacing w:line="240" w:lineRule="auto"/>
        <w:jc w:val="center"/>
      </w:pPr>
      <w:r>
        <w:rPr>
          <w:sz w:val="28"/>
        </w:rPr>
        <w:t>Bilješka 124.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9DCC28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0E9836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961C93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771774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F8F9DD"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489679C9"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4FCB0071" w14:textId="77777777" w:rsidR="002660AA" w:rsidRDefault="009B260F">
            <w:pPr>
              <w:keepNext/>
              <w:keepLines/>
              <w:spacing w:after="0" w:line="240" w:lineRule="auto"/>
              <w:jc w:val="center"/>
            </w:pPr>
            <w:r>
              <w:rPr>
                <w:b/>
                <w:sz w:val="18"/>
              </w:rPr>
              <w:t>Indeks (%)</w:t>
            </w:r>
          </w:p>
        </w:tc>
      </w:tr>
      <w:tr w:rsidR="002660AA" w14:paraId="4828A9AA" w14:textId="77777777">
        <w:tblPrEx>
          <w:tblCellMar>
            <w:top w:w="0" w:type="dxa"/>
            <w:bottom w:w="0" w:type="dxa"/>
          </w:tblCellMar>
        </w:tblPrEx>
        <w:trPr>
          <w:cantSplit/>
          <w:trHeight w:val="560"/>
        </w:trPr>
        <w:tc>
          <w:tcPr>
            <w:tcW w:w="700" w:type="dxa"/>
            <w:tcMar>
              <w:top w:w="0" w:type="dxa"/>
              <w:bottom w:w="0" w:type="dxa"/>
            </w:tcMar>
            <w:vAlign w:val="center"/>
          </w:tcPr>
          <w:p w14:paraId="651F4F7E" w14:textId="77777777" w:rsidR="002660AA" w:rsidRDefault="009B260F">
            <w:pPr>
              <w:keepNext/>
              <w:keepLines/>
              <w:spacing w:after="0" w:line="240" w:lineRule="auto"/>
            </w:pPr>
            <w:r>
              <w:rPr>
                <w:sz w:val="18"/>
              </w:rPr>
              <w:t>23</w:t>
            </w:r>
          </w:p>
        </w:tc>
        <w:tc>
          <w:tcPr>
            <w:tcW w:w="3180" w:type="dxa"/>
            <w:tcMar>
              <w:top w:w="0" w:type="dxa"/>
              <w:bottom w:w="0" w:type="dxa"/>
            </w:tcMar>
            <w:vAlign w:val="center"/>
          </w:tcPr>
          <w:p w14:paraId="7D39732E" w14:textId="77777777" w:rsidR="002660AA" w:rsidRDefault="009B260F">
            <w:pPr>
              <w:keepNext/>
              <w:keepLines/>
              <w:spacing w:after="0" w:line="240" w:lineRule="auto"/>
            </w:pPr>
            <w:r>
              <w:rPr>
                <w:sz w:val="18"/>
              </w:rPr>
              <w:t>Obveze za rashode poslovanja (šifre 231 do 234 + 235 + 236 + 237 do 239)</w:t>
            </w:r>
          </w:p>
        </w:tc>
        <w:tc>
          <w:tcPr>
            <w:tcW w:w="700" w:type="dxa"/>
            <w:tcMar>
              <w:top w:w="0" w:type="dxa"/>
              <w:bottom w:w="0" w:type="dxa"/>
            </w:tcMar>
            <w:vAlign w:val="center"/>
          </w:tcPr>
          <w:p w14:paraId="2004A6D2" w14:textId="77777777" w:rsidR="002660AA" w:rsidRDefault="009B260F">
            <w:pPr>
              <w:keepNext/>
              <w:keepLines/>
              <w:spacing w:after="0" w:line="240" w:lineRule="auto"/>
            </w:pPr>
            <w:r>
              <w:rPr>
                <w:sz w:val="18"/>
              </w:rPr>
              <w:t>23</w:t>
            </w:r>
          </w:p>
        </w:tc>
        <w:tc>
          <w:tcPr>
            <w:tcW w:w="1860" w:type="dxa"/>
            <w:tcMar>
              <w:top w:w="0" w:type="dxa"/>
              <w:bottom w:w="0" w:type="dxa"/>
            </w:tcMar>
            <w:vAlign w:val="center"/>
          </w:tcPr>
          <w:p w14:paraId="6D808A8C" w14:textId="77777777" w:rsidR="002660AA" w:rsidRDefault="009B260F">
            <w:pPr>
              <w:keepNext/>
              <w:keepLines/>
              <w:spacing w:after="0" w:line="240" w:lineRule="auto"/>
              <w:jc w:val="right"/>
            </w:pPr>
            <w:r>
              <w:rPr>
                <w:sz w:val="18"/>
              </w:rPr>
              <w:t>928.337,67</w:t>
            </w:r>
          </w:p>
        </w:tc>
        <w:tc>
          <w:tcPr>
            <w:tcW w:w="1860" w:type="dxa"/>
            <w:tcMar>
              <w:top w:w="0" w:type="dxa"/>
              <w:bottom w:w="0" w:type="dxa"/>
            </w:tcMar>
            <w:vAlign w:val="center"/>
          </w:tcPr>
          <w:p w14:paraId="775008E7" w14:textId="77777777" w:rsidR="002660AA" w:rsidRDefault="009B260F">
            <w:pPr>
              <w:keepNext/>
              <w:keepLines/>
              <w:spacing w:after="0" w:line="240" w:lineRule="auto"/>
              <w:jc w:val="right"/>
            </w:pPr>
            <w:r>
              <w:rPr>
                <w:sz w:val="18"/>
              </w:rPr>
              <w:t>1.581.149,27</w:t>
            </w:r>
          </w:p>
        </w:tc>
        <w:tc>
          <w:tcPr>
            <w:tcW w:w="700" w:type="dxa"/>
            <w:tcMar>
              <w:top w:w="0" w:type="dxa"/>
              <w:bottom w:w="0" w:type="dxa"/>
            </w:tcMar>
            <w:vAlign w:val="center"/>
          </w:tcPr>
          <w:p w14:paraId="5472836C" w14:textId="77777777" w:rsidR="002660AA" w:rsidRDefault="009B260F">
            <w:pPr>
              <w:keepNext/>
              <w:keepLines/>
              <w:spacing w:after="0" w:line="240" w:lineRule="auto"/>
              <w:jc w:val="right"/>
            </w:pPr>
            <w:r>
              <w:rPr>
                <w:sz w:val="18"/>
              </w:rPr>
              <w:t>170,3</w:t>
            </w:r>
          </w:p>
        </w:tc>
      </w:tr>
    </w:tbl>
    <w:p w14:paraId="5B01BA05" w14:textId="77777777" w:rsidR="002660AA" w:rsidRDefault="002660AA">
      <w:pPr>
        <w:spacing w:after="0"/>
      </w:pPr>
    </w:p>
    <w:p w14:paraId="6C4A34CB" w14:textId="77777777" w:rsidR="002660AA" w:rsidRDefault="009B260F">
      <w:r>
        <w:t>Skupina 23 - Obveze za rashode poslovanja u 2025. godini iznose 1.581.149,27 EUR, dok su u 2024. godini iznosile 928.337,67 EUR, što predstavlja indeks od 170,3. Povećanje obveza rezultat je dinamike nastanka i dospijeća obveza krajem izvještajnog razdoblja. Najveće povećanje evidentirano je u okviru odjeljka 238 - Obveze za donacije, kazne, naknade šteta i kapitalne pomoći, gdje su obveze porasle s 121.730,23 EUR u 2024. godini na 413.627,61 EUR u 2025. godini. Povećanje se prvenstveno odnosi na obveze pre</w:t>
      </w:r>
      <w:r>
        <w:t>ma Vatrogasnoj zajednici Grada Koprivnice te Zajednici športskih udruga Grada Koprivnice, sukladno programima financiranja i preuzetim obvezama. </w:t>
      </w:r>
    </w:p>
    <w:p w14:paraId="75D84DEC" w14:textId="77777777" w:rsidR="002660AA" w:rsidRDefault="002660AA"/>
    <w:p w14:paraId="06325272" w14:textId="77777777" w:rsidR="002660AA" w:rsidRDefault="009B260F">
      <w:pPr>
        <w:keepNext/>
        <w:spacing w:line="240" w:lineRule="auto"/>
        <w:jc w:val="center"/>
      </w:pPr>
      <w:r>
        <w:rPr>
          <w:sz w:val="28"/>
        </w:rPr>
        <w:t>Bilješka 125.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04D97D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3918EB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21C0DBF"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9480C03"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C01AEB3"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797DA2D"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799BF53" w14:textId="77777777" w:rsidR="002660AA" w:rsidRDefault="009B260F">
            <w:pPr>
              <w:keepNext/>
              <w:keepLines/>
              <w:spacing w:after="0" w:line="240" w:lineRule="auto"/>
              <w:jc w:val="center"/>
            </w:pPr>
            <w:r>
              <w:rPr>
                <w:b/>
                <w:sz w:val="18"/>
              </w:rPr>
              <w:t>Indeks (%)</w:t>
            </w:r>
          </w:p>
        </w:tc>
      </w:tr>
      <w:tr w:rsidR="002660AA" w14:paraId="466D4400" w14:textId="77777777">
        <w:tblPrEx>
          <w:tblCellMar>
            <w:top w:w="0" w:type="dxa"/>
            <w:bottom w:w="0" w:type="dxa"/>
          </w:tblCellMar>
        </w:tblPrEx>
        <w:trPr>
          <w:cantSplit/>
          <w:trHeight w:val="560"/>
        </w:trPr>
        <w:tc>
          <w:tcPr>
            <w:tcW w:w="700" w:type="dxa"/>
            <w:tcMar>
              <w:top w:w="0" w:type="dxa"/>
              <w:bottom w:w="0" w:type="dxa"/>
            </w:tcMar>
            <w:vAlign w:val="center"/>
          </w:tcPr>
          <w:p w14:paraId="2BC7C26B" w14:textId="77777777" w:rsidR="002660AA" w:rsidRDefault="009B260F">
            <w:pPr>
              <w:keepNext/>
              <w:keepLines/>
              <w:spacing w:after="0" w:line="240" w:lineRule="auto"/>
            </w:pPr>
            <w:r>
              <w:rPr>
                <w:sz w:val="18"/>
              </w:rPr>
              <w:t>24</w:t>
            </w:r>
          </w:p>
        </w:tc>
        <w:tc>
          <w:tcPr>
            <w:tcW w:w="3180" w:type="dxa"/>
            <w:tcMar>
              <w:top w:w="0" w:type="dxa"/>
              <w:bottom w:w="0" w:type="dxa"/>
            </w:tcMar>
            <w:vAlign w:val="center"/>
          </w:tcPr>
          <w:p w14:paraId="297A4123" w14:textId="77777777" w:rsidR="002660AA" w:rsidRDefault="009B260F">
            <w:pPr>
              <w:keepNext/>
              <w:keepLines/>
              <w:spacing w:after="0" w:line="240" w:lineRule="auto"/>
            </w:pPr>
            <w:r>
              <w:rPr>
                <w:sz w:val="18"/>
              </w:rPr>
              <w:t>Obveze za nabavu nefinancijske imovine (šifre 241 do 245)</w:t>
            </w:r>
          </w:p>
        </w:tc>
        <w:tc>
          <w:tcPr>
            <w:tcW w:w="700" w:type="dxa"/>
            <w:tcMar>
              <w:top w:w="0" w:type="dxa"/>
              <w:bottom w:w="0" w:type="dxa"/>
            </w:tcMar>
            <w:vAlign w:val="center"/>
          </w:tcPr>
          <w:p w14:paraId="5221B361" w14:textId="77777777" w:rsidR="002660AA" w:rsidRDefault="009B260F">
            <w:pPr>
              <w:keepNext/>
              <w:keepLines/>
              <w:spacing w:after="0" w:line="240" w:lineRule="auto"/>
            </w:pPr>
            <w:r>
              <w:rPr>
                <w:sz w:val="18"/>
              </w:rPr>
              <w:t>24</w:t>
            </w:r>
          </w:p>
        </w:tc>
        <w:tc>
          <w:tcPr>
            <w:tcW w:w="1860" w:type="dxa"/>
            <w:tcMar>
              <w:top w:w="0" w:type="dxa"/>
              <w:bottom w:w="0" w:type="dxa"/>
            </w:tcMar>
            <w:vAlign w:val="center"/>
          </w:tcPr>
          <w:p w14:paraId="71EB7E01" w14:textId="77777777" w:rsidR="002660AA" w:rsidRDefault="009B260F">
            <w:pPr>
              <w:keepNext/>
              <w:keepLines/>
              <w:spacing w:after="0" w:line="240" w:lineRule="auto"/>
              <w:jc w:val="right"/>
            </w:pPr>
            <w:r>
              <w:rPr>
                <w:sz w:val="18"/>
              </w:rPr>
              <w:t>1.580.118,05</w:t>
            </w:r>
          </w:p>
        </w:tc>
        <w:tc>
          <w:tcPr>
            <w:tcW w:w="1860" w:type="dxa"/>
            <w:tcMar>
              <w:top w:w="0" w:type="dxa"/>
              <w:bottom w:w="0" w:type="dxa"/>
            </w:tcMar>
            <w:vAlign w:val="center"/>
          </w:tcPr>
          <w:p w14:paraId="724DF089" w14:textId="77777777" w:rsidR="002660AA" w:rsidRDefault="009B260F">
            <w:pPr>
              <w:keepNext/>
              <w:keepLines/>
              <w:spacing w:after="0" w:line="240" w:lineRule="auto"/>
              <w:jc w:val="right"/>
            </w:pPr>
            <w:r>
              <w:rPr>
                <w:sz w:val="18"/>
              </w:rPr>
              <w:t>5.441.795,53</w:t>
            </w:r>
          </w:p>
        </w:tc>
        <w:tc>
          <w:tcPr>
            <w:tcW w:w="700" w:type="dxa"/>
            <w:tcMar>
              <w:top w:w="0" w:type="dxa"/>
              <w:bottom w:w="0" w:type="dxa"/>
            </w:tcMar>
            <w:vAlign w:val="center"/>
          </w:tcPr>
          <w:p w14:paraId="3311A17F" w14:textId="77777777" w:rsidR="002660AA" w:rsidRDefault="009B260F">
            <w:pPr>
              <w:keepNext/>
              <w:keepLines/>
              <w:spacing w:after="0" w:line="240" w:lineRule="auto"/>
              <w:jc w:val="right"/>
            </w:pPr>
            <w:r>
              <w:rPr>
                <w:sz w:val="18"/>
              </w:rPr>
              <w:t>344,4</w:t>
            </w:r>
          </w:p>
        </w:tc>
      </w:tr>
    </w:tbl>
    <w:p w14:paraId="68D69D0C" w14:textId="77777777" w:rsidR="002660AA" w:rsidRDefault="002660AA">
      <w:pPr>
        <w:spacing w:after="0"/>
      </w:pPr>
    </w:p>
    <w:p w14:paraId="0C53C887" w14:textId="77777777" w:rsidR="002660AA" w:rsidRDefault="009B260F">
      <w:r>
        <w:t>Skupina 24 - Obveze za nabavu nefinancijske imovine u 2025. godini iznose 5.441.795,53 EUR, što predstavlja značajan rast u odnosu na 2024. godinu (indeks 344,4). Najveće povećanje evidentirano je u okviru odjeljka 242 - Obveze za nabavu proizvedene dugotrajne imovine, gdje je zabilježen indeks od 262,1. Povećanje je rezultat prijenosa obveza po investicijskim projektima u tijeku, uključujući sortirnicu Herešin, dogradnju Osnovne škole „Braća Radić“, izgradnju kompleksa tržnice i polivalentnog centra. Takođ</w:t>
      </w:r>
      <w:r>
        <w:t>er, u okviru odjeljka 245 - Obveze za dodatna ulaganja na nefinancijskoj imovini evidentiran je značajan rast (indeks 903,2), što se odnosi na nepodmirene obveze za investiciju „Znanstveno-inovacijski centar“, sukladno dinamici izvođenja radova i zaprimanja situacija krajem izvještajnog razdoblja.</w:t>
      </w:r>
    </w:p>
    <w:p w14:paraId="05409D7E" w14:textId="77777777" w:rsidR="002660AA" w:rsidRDefault="002660AA"/>
    <w:p w14:paraId="1AE691F7" w14:textId="77777777" w:rsidR="002660AA" w:rsidRDefault="009B260F">
      <w:pPr>
        <w:keepNext/>
        <w:spacing w:line="240" w:lineRule="auto"/>
        <w:jc w:val="center"/>
      </w:pPr>
      <w:r>
        <w:rPr>
          <w:sz w:val="28"/>
        </w:rPr>
        <w:t>Bilješka 126.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3A62145"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A7A6422"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460370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A2CF19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93D4870"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0F10999A"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0AE1632B" w14:textId="77777777" w:rsidR="002660AA" w:rsidRDefault="009B260F">
            <w:pPr>
              <w:keepNext/>
              <w:keepLines/>
              <w:spacing w:after="0" w:line="240" w:lineRule="auto"/>
              <w:jc w:val="center"/>
            </w:pPr>
            <w:r>
              <w:rPr>
                <w:b/>
                <w:sz w:val="18"/>
              </w:rPr>
              <w:t>Indeks (%)</w:t>
            </w:r>
          </w:p>
        </w:tc>
      </w:tr>
      <w:tr w:rsidR="002660AA" w14:paraId="7066CA95" w14:textId="77777777">
        <w:tblPrEx>
          <w:tblCellMar>
            <w:top w:w="0" w:type="dxa"/>
            <w:bottom w:w="0" w:type="dxa"/>
          </w:tblCellMar>
        </w:tblPrEx>
        <w:trPr>
          <w:cantSplit/>
          <w:trHeight w:val="560"/>
        </w:trPr>
        <w:tc>
          <w:tcPr>
            <w:tcW w:w="700" w:type="dxa"/>
            <w:tcMar>
              <w:top w:w="0" w:type="dxa"/>
              <w:bottom w:w="0" w:type="dxa"/>
            </w:tcMar>
            <w:vAlign w:val="center"/>
          </w:tcPr>
          <w:p w14:paraId="175713D5" w14:textId="77777777" w:rsidR="002660AA" w:rsidRDefault="009B260F">
            <w:pPr>
              <w:keepNext/>
              <w:keepLines/>
              <w:spacing w:after="0" w:line="240" w:lineRule="auto"/>
            </w:pPr>
            <w:r>
              <w:rPr>
                <w:sz w:val="18"/>
              </w:rPr>
              <w:t>26</w:t>
            </w:r>
          </w:p>
        </w:tc>
        <w:tc>
          <w:tcPr>
            <w:tcW w:w="3180" w:type="dxa"/>
            <w:tcMar>
              <w:top w:w="0" w:type="dxa"/>
              <w:bottom w:w="0" w:type="dxa"/>
            </w:tcMar>
            <w:vAlign w:val="center"/>
          </w:tcPr>
          <w:p w14:paraId="02A09BF6" w14:textId="77777777" w:rsidR="002660AA" w:rsidRDefault="009B260F">
            <w:pPr>
              <w:keepNext/>
              <w:keepLines/>
              <w:spacing w:after="0" w:line="240" w:lineRule="auto"/>
            </w:pPr>
            <w:r>
              <w:rPr>
                <w:sz w:val="18"/>
              </w:rPr>
              <w:t>Obveze za kredite i zajmove (šifre 26X1+26X2)</w:t>
            </w:r>
          </w:p>
        </w:tc>
        <w:tc>
          <w:tcPr>
            <w:tcW w:w="700" w:type="dxa"/>
            <w:tcMar>
              <w:top w:w="0" w:type="dxa"/>
              <w:bottom w:w="0" w:type="dxa"/>
            </w:tcMar>
            <w:vAlign w:val="center"/>
          </w:tcPr>
          <w:p w14:paraId="668BEE14" w14:textId="77777777" w:rsidR="002660AA" w:rsidRDefault="009B260F">
            <w:pPr>
              <w:keepNext/>
              <w:keepLines/>
              <w:spacing w:after="0" w:line="240" w:lineRule="auto"/>
            </w:pPr>
            <w:r>
              <w:rPr>
                <w:sz w:val="18"/>
              </w:rPr>
              <w:t>26</w:t>
            </w:r>
          </w:p>
        </w:tc>
        <w:tc>
          <w:tcPr>
            <w:tcW w:w="1860" w:type="dxa"/>
            <w:tcMar>
              <w:top w:w="0" w:type="dxa"/>
              <w:bottom w:w="0" w:type="dxa"/>
            </w:tcMar>
            <w:vAlign w:val="center"/>
          </w:tcPr>
          <w:p w14:paraId="21395A93" w14:textId="77777777" w:rsidR="002660AA" w:rsidRDefault="009B260F">
            <w:pPr>
              <w:keepNext/>
              <w:keepLines/>
              <w:spacing w:after="0" w:line="240" w:lineRule="auto"/>
              <w:jc w:val="right"/>
            </w:pPr>
            <w:r>
              <w:rPr>
                <w:sz w:val="18"/>
              </w:rPr>
              <w:t>10.462.482,73</w:t>
            </w:r>
          </w:p>
        </w:tc>
        <w:tc>
          <w:tcPr>
            <w:tcW w:w="1860" w:type="dxa"/>
            <w:tcMar>
              <w:top w:w="0" w:type="dxa"/>
              <w:bottom w:w="0" w:type="dxa"/>
            </w:tcMar>
            <w:vAlign w:val="center"/>
          </w:tcPr>
          <w:p w14:paraId="305473B3" w14:textId="77777777" w:rsidR="002660AA" w:rsidRDefault="009B260F">
            <w:pPr>
              <w:keepNext/>
              <w:keepLines/>
              <w:spacing w:after="0" w:line="240" w:lineRule="auto"/>
              <w:jc w:val="right"/>
            </w:pPr>
            <w:r>
              <w:rPr>
                <w:sz w:val="18"/>
              </w:rPr>
              <w:t>19.769.152,24</w:t>
            </w:r>
          </w:p>
        </w:tc>
        <w:tc>
          <w:tcPr>
            <w:tcW w:w="700" w:type="dxa"/>
            <w:tcMar>
              <w:top w:w="0" w:type="dxa"/>
              <w:bottom w:w="0" w:type="dxa"/>
            </w:tcMar>
            <w:vAlign w:val="center"/>
          </w:tcPr>
          <w:p w14:paraId="32E759A5" w14:textId="77777777" w:rsidR="002660AA" w:rsidRDefault="009B260F">
            <w:pPr>
              <w:keepNext/>
              <w:keepLines/>
              <w:spacing w:after="0" w:line="240" w:lineRule="auto"/>
              <w:jc w:val="right"/>
            </w:pPr>
            <w:r>
              <w:rPr>
                <w:sz w:val="18"/>
              </w:rPr>
              <w:t>189,0</w:t>
            </w:r>
          </w:p>
        </w:tc>
      </w:tr>
    </w:tbl>
    <w:p w14:paraId="3276A673" w14:textId="77777777" w:rsidR="002660AA" w:rsidRDefault="002660AA">
      <w:pPr>
        <w:spacing w:after="0"/>
      </w:pPr>
    </w:p>
    <w:p w14:paraId="0CDC480C" w14:textId="77777777" w:rsidR="002660AA" w:rsidRDefault="009B260F">
      <w:r>
        <w:t>Skupina 26 - Obveze za kredite i zajmove u 2025. godini iznose 19.769.152,24 EUR, dok su u 2024. godini iznosile 10.462.482,73 EUR, što predstavlja indeks od 189,0. Povećanje obveza rezultat je novog zaduženja i korištenja kreditnih sredstava u svrhu financiranja kapitalnih projekata. U okviru odjeljka 2622 - Obveze za kredite od tuzemnih kreditnih institucija u javnom sektoru, u 2025. godini evidentirano je zaduženje u iznosu od 5.185.608,55 EUR, dok u 2024. godini nije bilo evidentiranih obveza na tom odj</w:t>
      </w:r>
      <w:r>
        <w:t>eljku. Navedeno se odnosi na kredit kod HBOR-a za financiranje investicija izgradnja sortirnice Herešin i Dječji vrtić Bajer. Također, u okviru odjeljka 2643 - Obveze za kredite od tuzemnih kreditnih institucija izvan javnog sektora zabilježen je rast od 39,7 %, što je posljedica korištenja kratkoročnog kredita kod PBZ d.d. radi osiguravanja likvidnosti tijekom realizacije investicija.</w:t>
      </w:r>
    </w:p>
    <w:p w14:paraId="79C4A5A9" w14:textId="77777777" w:rsidR="002660AA" w:rsidRDefault="002660AA"/>
    <w:p w14:paraId="0814322B" w14:textId="77777777" w:rsidR="002660AA" w:rsidRDefault="009B260F">
      <w:pPr>
        <w:keepNext/>
        <w:spacing w:line="240" w:lineRule="auto"/>
        <w:jc w:val="center"/>
      </w:pPr>
      <w:r>
        <w:rPr>
          <w:sz w:val="28"/>
        </w:rPr>
        <w:t>Bilješka 127.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C499A0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9D5532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7E37CC5"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D36729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CD73A0A"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7DA5F09"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7F7CA818" w14:textId="77777777" w:rsidR="002660AA" w:rsidRDefault="009B260F">
            <w:pPr>
              <w:keepNext/>
              <w:keepLines/>
              <w:spacing w:after="0" w:line="240" w:lineRule="auto"/>
              <w:jc w:val="center"/>
            </w:pPr>
            <w:r>
              <w:rPr>
                <w:b/>
                <w:sz w:val="18"/>
              </w:rPr>
              <w:t>Indeks (%)</w:t>
            </w:r>
          </w:p>
        </w:tc>
      </w:tr>
      <w:tr w:rsidR="002660AA" w14:paraId="007C12E8" w14:textId="77777777">
        <w:tblPrEx>
          <w:tblCellMar>
            <w:top w:w="0" w:type="dxa"/>
            <w:bottom w:w="0" w:type="dxa"/>
          </w:tblCellMar>
        </w:tblPrEx>
        <w:trPr>
          <w:cantSplit/>
          <w:trHeight w:val="560"/>
        </w:trPr>
        <w:tc>
          <w:tcPr>
            <w:tcW w:w="700" w:type="dxa"/>
            <w:tcMar>
              <w:top w:w="0" w:type="dxa"/>
              <w:bottom w:w="0" w:type="dxa"/>
            </w:tcMar>
            <w:vAlign w:val="center"/>
          </w:tcPr>
          <w:p w14:paraId="5EA6DB61" w14:textId="77777777" w:rsidR="002660AA" w:rsidRDefault="009B260F">
            <w:pPr>
              <w:keepNext/>
              <w:keepLines/>
              <w:spacing w:after="0" w:line="240" w:lineRule="auto"/>
            </w:pPr>
            <w:r>
              <w:rPr>
                <w:sz w:val="18"/>
              </w:rPr>
              <w:t>27</w:t>
            </w:r>
          </w:p>
        </w:tc>
        <w:tc>
          <w:tcPr>
            <w:tcW w:w="3180" w:type="dxa"/>
            <w:tcMar>
              <w:top w:w="0" w:type="dxa"/>
              <w:bottom w:w="0" w:type="dxa"/>
            </w:tcMar>
            <w:vAlign w:val="center"/>
          </w:tcPr>
          <w:p w14:paraId="423AF42D" w14:textId="77777777" w:rsidR="002660AA" w:rsidRDefault="009B260F">
            <w:pPr>
              <w:keepNext/>
              <w:keepLines/>
              <w:spacing w:after="0" w:line="240" w:lineRule="auto"/>
            </w:pPr>
            <w:r>
              <w:rPr>
                <w:sz w:val="18"/>
              </w:rPr>
              <w:t>Obveze za predujmove, depozite, jamčevne pologe i tuđe prihode</w:t>
            </w:r>
          </w:p>
        </w:tc>
        <w:tc>
          <w:tcPr>
            <w:tcW w:w="700" w:type="dxa"/>
            <w:tcMar>
              <w:top w:w="0" w:type="dxa"/>
              <w:bottom w:w="0" w:type="dxa"/>
            </w:tcMar>
            <w:vAlign w:val="center"/>
          </w:tcPr>
          <w:p w14:paraId="6AB63750" w14:textId="77777777" w:rsidR="002660AA" w:rsidRDefault="009B260F">
            <w:pPr>
              <w:keepNext/>
              <w:keepLines/>
              <w:spacing w:after="0" w:line="240" w:lineRule="auto"/>
            </w:pPr>
            <w:r>
              <w:rPr>
                <w:sz w:val="18"/>
              </w:rPr>
              <w:t>27</w:t>
            </w:r>
          </w:p>
        </w:tc>
        <w:tc>
          <w:tcPr>
            <w:tcW w:w="1860" w:type="dxa"/>
            <w:tcMar>
              <w:top w:w="0" w:type="dxa"/>
              <w:bottom w:w="0" w:type="dxa"/>
            </w:tcMar>
            <w:vAlign w:val="center"/>
          </w:tcPr>
          <w:p w14:paraId="6B74F783" w14:textId="77777777" w:rsidR="002660AA" w:rsidRDefault="009B260F">
            <w:pPr>
              <w:keepNext/>
              <w:keepLines/>
              <w:spacing w:after="0" w:line="240" w:lineRule="auto"/>
              <w:jc w:val="right"/>
            </w:pPr>
            <w:r>
              <w:rPr>
                <w:sz w:val="18"/>
              </w:rPr>
              <w:t>1.864.456,13</w:t>
            </w:r>
          </w:p>
        </w:tc>
        <w:tc>
          <w:tcPr>
            <w:tcW w:w="1860" w:type="dxa"/>
            <w:tcMar>
              <w:top w:w="0" w:type="dxa"/>
              <w:bottom w:w="0" w:type="dxa"/>
            </w:tcMar>
            <w:vAlign w:val="center"/>
          </w:tcPr>
          <w:p w14:paraId="01485BAC" w14:textId="77777777" w:rsidR="002660AA" w:rsidRDefault="009B260F">
            <w:pPr>
              <w:keepNext/>
              <w:keepLines/>
              <w:spacing w:after="0" w:line="240" w:lineRule="auto"/>
              <w:jc w:val="right"/>
            </w:pPr>
            <w:r>
              <w:rPr>
                <w:sz w:val="18"/>
              </w:rPr>
              <w:t>6.495.639,00</w:t>
            </w:r>
          </w:p>
        </w:tc>
        <w:tc>
          <w:tcPr>
            <w:tcW w:w="700" w:type="dxa"/>
            <w:tcMar>
              <w:top w:w="0" w:type="dxa"/>
              <w:bottom w:w="0" w:type="dxa"/>
            </w:tcMar>
            <w:vAlign w:val="center"/>
          </w:tcPr>
          <w:p w14:paraId="4FF18B5B" w14:textId="77777777" w:rsidR="002660AA" w:rsidRDefault="009B260F">
            <w:pPr>
              <w:keepNext/>
              <w:keepLines/>
              <w:spacing w:after="0" w:line="240" w:lineRule="auto"/>
              <w:jc w:val="right"/>
            </w:pPr>
            <w:r>
              <w:rPr>
                <w:sz w:val="18"/>
              </w:rPr>
              <w:t>348,4</w:t>
            </w:r>
          </w:p>
        </w:tc>
      </w:tr>
    </w:tbl>
    <w:p w14:paraId="32EDFBFD" w14:textId="77777777" w:rsidR="002660AA" w:rsidRDefault="002660AA">
      <w:pPr>
        <w:spacing w:after="0"/>
      </w:pPr>
    </w:p>
    <w:p w14:paraId="6EE8EB1B" w14:textId="77777777" w:rsidR="002660AA" w:rsidRDefault="009B260F">
      <w:r>
        <w:t>Skupina 27 - Obveze za predujmove, depozite, jamčevne pologe i tuđe prihode u 2025. godini iznose 6.495.639,00 EUR, dok su u 2024. godini iznosile 1.864.456,13 EUR, što predstavlja indeks od 348,4. Najveći dio povećanja odnosi se na zaprimljene predujmove za provedbu kapitalnih projekata, uključujući dogradnju Osnovne škole „Braća Radić“, Znanstveno-inovacijski park, Unaprjeđenje sustava javnog prijevoza na urbanom području Koprivnica. Povećanje obveza rezultat je zaprimanja predujmova i sredstava za projek</w:t>
      </w:r>
      <w:r>
        <w:t>te koji su u provedbi.</w:t>
      </w:r>
    </w:p>
    <w:p w14:paraId="78905A1D" w14:textId="77777777" w:rsidR="002660AA" w:rsidRDefault="002660AA"/>
    <w:p w14:paraId="54DDF0F6" w14:textId="77777777" w:rsidR="002660AA" w:rsidRDefault="009B260F">
      <w:pPr>
        <w:keepNext/>
        <w:spacing w:line="240" w:lineRule="auto"/>
        <w:jc w:val="center"/>
      </w:pPr>
      <w:r>
        <w:rPr>
          <w:sz w:val="28"/>
        </w:rPr>
        <w:t>Bilješka 128.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A4814B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171F2E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B8019C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68BD6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9380757"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057E8168"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1371C5D" w14:textId="77777777" w:rsidR="002660AA" w:rsidRDefault="009B260F">
            <w:pPr>
              <w:keepNext/>
              <w:keepLines/>
              <w:spacing w:after="0" w:line="240" w:lineRule="auto"/>
              <w:jc w:val="center"/>
            </w:pPr>
            <w:r>
              <w:rPr>
                <w:b/>
                <w:sz w:val="18"/>
              </w:rPr>
              <w:t>Indeks (%)</w:t>
            </w:r>
          </w:p>
        </w:tc>
      </w:tr>
      <w:tr w:rsidR="002660AA" w14:paraId="550D069E" w14:textId="77777777">
        <w:tblPrEx>
          <w:tblCellMar>
            <w:top w:w="0" w:type="dxa"/>
            <w:bottom w:w="0" w:type="dxa"/>
          </w:tblCellMar>
        </w:tblPrEx>
        <w:trPr>
          <w:cantSplit/>
          <w:trHeight w:val="560"/>
        </w:trPr>
        <w:tc>
          <w:tcPr>
            <w:tcW w:w="700" w:type="dxa"/>
            <w:tcMar>
              <w:top w:w="0" w:type="dxa"/>
              <w:bottom w:w="0" w:type="dxa"/>
            </w:tcMar>
            <w:vAlign w:val="center"/>
          </w:tcPr>
          <w:p w14:paraId="5A4FB720" w14:textId="77777777" w:rsidR="002660AA" w:rsidRDefault="009B260F">
            <w:pPr>
              <w:keepNext/>
              <w:keepLines/>
              <w:spacing w:after="0" w:line="240" w:lineRule="auto"/>
            </w:pPr>
            <w:r>
              <w:rPr>
                <w:sz w:val="18"/>
              </w:rPr>
              <w:t>911</w:t>
            </w:r>
          </w:p>
        </w:tc>
        <w:tc>
          <w:tcPr>
            <w:tcW w:w="3180" w:type="dxa"/>
            <w:tcMar>
              <w:top w:w="0" w:type="dxa"/>
              <w:bottom w:w="0" w:type="dxa"/>
            </w:tcMar>
            <w:vAlign w:val="center"/>
          </w:tcPr>
          <w:p w14:paraId="3F313020" w14:textId="77777777" w:rsidR="002660AA" w:rsidRDefault="009B260F">
            <w:pPr>
              <w:keepNext/>
              <w:keepLines/>
              <w:spacing w:after="0" w:line="240" w:lineRule="auto"/>
            </w:pPr>
            <w:r>
              <w:rPr>
                <w:sz w:val="18"/>
              </w:rPr>
              <w:t>Vlastiti izvori</w:t>
            </w:r>
          </w:p>
        </w:tc>
        <w:tc>
          <w:tcPr>
            <w:tcW w:w="700" w:type="dxa"/>
            <w:tcMar>
              <w:top w:w="0" w:type="dxa"/>
              <w:bottom w:w="0" w:type="dxa"/>
            </w:tcMar>
            <w:vAlign w:val="center"/>
          </w:tcPr>
          <w:p w14:paraId="5D100BDF" w14:textId="77777777" w:rsidR="002660AA" w:rsidRDefault="009B260F">
            <w:pPr>
              <w:keepNext/>
              <w:keepLines/>
              <w:spacing w:after="0" w:line="240" w:lineRule="auto"/>
            </w:pPr>
            <w:r>
              <w:rPr>
                <w:sz w:val="18"/>
              </w:rPr>
              <w:t>911</w:t>
            </w:r>
          </w:p>
        </w:tc>
        <w:tc>
          <w:tcPr>
            <w:tcW w:w="1860" w:type="dxa"/>
            <w:tcMar>
              <w:top w:w="0" w:type="dxa"/>
              <w:bottom w:w="0" w:type="dxa"/>
            </w:tcMar>
            <w:vAlign w:val="center"/>
          </w:tcPr>
          <w:p w14:paraId="4BA45875" w14:textId="77777777" w:rsidR="002660AA" w:rsidRDefault="009B260F">
            <w:pPr>
              <w:keepNext/>
              <w:keepLines/>
              <w:spacing w:after="0" w:line="240" w:lineRule="auto"/>
              <w:jc w:val="right"/>
            </w:pPr>
            <w:r>
              <w:rPr>
                <w:sz w:val="18"/>
              </w:rPr>
              <w:t>137.395.812,23</w:t>
            </w:r>
          </w:p>
        </w:tc>
        <w:tc>
          <w:tcPr>
            <w:tcW w:w="1860" w:type="dxa"/>
            <w:tcMar>
              <w:top w:w="0" w:type="dxa"/>
              <w:bottom w:w="0" w:type="dxa"/>
            </w:tcMar>
            <w:vAlign w:val="center"/>
          </w:tcPr>
          <w:p w14:paraId="7AE2504D" w14:textId="77777777" w:rsidR="002660AA" w:rsidRDefault="009B260F">
            <w:pPr>
              <w:keepNext/>
              <w:keepLines/>
              <w:spacing w:after="0" w:line="240" w:lineRule="auto"/>
              <w:jc w:val="right"/>
            </w:pPr>
            <w:r>
              <w:rPr>
                <w:sz w:val="18"/>
              </w:rPr>
              <w:t>154.149.259,86</w:t>
            </w:r>
          </w:p>
        </w:tc>
        <w:tc>
          <w:tcPr>
            <w:tcW w:w="700" w:type="dxa"/>
            <w:tcMar>
              <w:top w:w="0" w:type="dxa"/>
              <w:bottom w:w="0" w:type="dxa"/>
            </w:tcMar>
            <w:vAlign w:val="center"/>
          </w:tcPr>
          <w:p w14:paraId="572F84F8" w14:textId="77777777" w:rsidR="002660AA" w:rsidRDefault="009B260F">
            <w:pPr>
              <w:keepNext/>
              <w:keepLines/>
              <w:spacing w:after="0" w:line="240" w:lineRule="auto"/>
              <w:jc w:val="right"/>
            </w:pPr>
            <w:r>
              <w:rPr>
                <w:sz w:val="18"/>
              </w:rPr>
              <w:t>112,2</w:t>
            </w:r>
          </w:p>
        </w:tc>
      </w:tr>
    </w:tbl>
    <w:p w14:paraId="6FC3C425" w14:textId="77777777" w:rsidR="002660AA" w:rsidRDefault="002660AA">
      <w:pPr>
        <w:spacing w:after="0"/>
      </w:pPr>
    </w:p>
    <w:p w14:paraId="4448BD19" w14:textId="77777777" w:rsidR="002660AA" w:rsidRDefault="009B260F">
      <w:r>
        <w:t>Skupina 911 – Vlastiti izvori u 2025. godini bilježi indeks od 112 u odnosu na 2024. godinu. Povećanje vlastitih izvora rezultat je ostvarenog rezultata poslovanja u izvještajnom razdoblju te evidentiranih ulaganja u nefinancijsku imovinu i promjena u strukturi financiranja kapitalnih projekata.</w:t>
      </w:r>
    </w:p>
    <w:p w14:paraId="358B3316" w14:textId="77777777" w:rsidR="002660AA" w:rsidRDefault="002660AA"/>
    <w:p w14:paraId="3833A603" w14:textId="77777777" w:rsidR="002660AA" w:rsidRDefault="009B260F">
      <w:pPr>
        <w:keepNext/>
        <w:spacing w:line="240" w:lineRule="auto"/>
        <w:jc w:val="center"/>
      </w:pPr>
      <w:r>
        <w:rPr>
          <w:sz w:val="28"/>
        </w:rPr>
        <w:t>Bilješka 129.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1737DB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074A4D2"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5E3DD11"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1A4815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F018D03" w14:textId="77777777" w:rsidR="002660AA" w:rsidRDefault="009B260F">
            <w:pPr>
              <w:keepNext/>
              <w:keepLines/>
              <w:spacing w:after="0" w:line="240" w:lineRule="auto"/>
              <w:jc w:val="center"/>
            </w:pPr>
            <w:r>
              <w:rPr>
                <w:b/>
                <w:sz w:val="18"/>
              </w:rPr>
              <w:t>Stanje 1. siječnja</w:t>
            </w:r>
          </w:p>
        </w:tc>
        <w:tc>
          <w:tcPr>
            <w:tcW w:w="1860" w:type="dxa"/>
            <w:shd w:val="clear" w:color="auto" w:fill="E7F0F9"/>
            <w:tcMar>
              <w:top w:w="0" w:type="dxa"/>
              <w:bottom w:w="0" w:type="dxa"/>
            </w:tcMar>
            <w:vAlign w:val="center"/>
          </w:tcPr>
          <w:p w14:paraId="298B99B6" w14:textId="77777777" w:rsidR="002660AA" w:rsidRDefault="009B260F">
            <w:pPr>
              <w:keepNext/>
              <w:keepLines/>
              <w:spacing w:after="0" w:line="240" w:lineRule="auto"/>
              <w:jc w:val="center"/>
            </w:pPr>
            <w:r>
              <w:rPr>
                <w:b/>
                <w:sz w:val="18"/>
              </w:rPr>
              <w:t>Stanje 31. prosinca</w:t>
            </w:r>
          </w:p>
        </w:tc>
        <w:tc>
          <w:tcPr>
            <w:tcW w:w="700" w:type="dxa"/>
            <w:shd w:val="clear" w:color="auto" w:fill="E7F0F9"/>
            <w:tcMar>
              <w:top w:w="0" w:type="dxa"/>
              <w:bottom w:w="0" w:type="dxa"/>
            </w:tcMar>
            <w:vAlign w:val="center"/>
          </w:tcPr>
          <w:p w14:paraId="6B94AB10" w14:textId="77777777" w:rsidR="002660AA" w:rsidRDefault="009B260F">
            <w:pPr>
              <w:keepNext/>
              <w:keepLines/>
              <w:spacing w:after="0" w:line="240" w:lineRule="auto"/>
              <w:jc w:val="center"/>
            </w:pPr>
            <w:r>
              <w:rPr>
                <w:b/>
                <w:sz w:val="18"/>
              </w:rPr>
              <w:t>Indeks (%)</w:t>
            </w:r>
          </w:p>
        </w:tc>
      </w:tr>
      <w:tr w:rsidR="002660AA" w14:paraId="09AF4D81" w14:textId="77777777">
        <w:tblPrEx>
          <w:tblCellMar>
            <w:top w:w="0" w:type="dxa"/>
            <w:bottom w:w="0" w:type="dxa"/>
          </w:tblCellMar>
        </w:tblPrEx>
        <w:trPr>
          <w:cantSplit/>
          <w:trHeight w:val="560"/>
        </w:trPr>
        <w:tc>
          <w:tcPr>
            <w:tcW w:w="700" w:type="dxa"/>
            <w:tcMar>
              <w:top w:w="0" w:type="dxa"/>
              <w:bottom w:w="0" w:type="dxa"/>
            </w:tcMar>
            <w:vAlign w:val="center"/>
          </w:tcPr>
          <w:p w14:paraId="06ABE8D3" w14:textId="77777777" w:rsidR="002660AA" w:rsidRDefault="009B260F">
            <w:pPr>
              <w:keepNext/>
              <w:keepLines/>
              <w:spacing w:after="0" w:line="240" w:lineRule="auto"/>
            </w:pPr>
            <w:r>
              <w:rPr>
                <w:sz w:val="18"/>
              </w:rPr>
              <w:t>912</w:t>
            </w:r>
          </w:p>
        </w:tc>
        <w:tc>
          <w:tcPr>
            <w:tcW w:w="3180" w:type="dxa"/>
            <w:tcMar>
              <w:top w:w="0" w:type="dxa"/>
              <w:bottom w:w="0" w:type="dxa"/>
            </w:tcMar>
            <w:vAlign w:val="center"/>
          </w:tcPr>
          <w:p w14:paraId="0C0F915D" w14:textId="77777777" w:rsidR="002660AA" w:rsidRDefault="009B260F">
            <w:pPr>
              <w:keepNext/>
              <w:keepLines/>
              <w:spacing w:after="0" w:line="240" w:lineRule="auto"/>
            </w:pPr>
            <w:r>
              <w:rPr>
                <w:sz w:val="18"/>
              </w:rPr>
              <w:t>Ispravak vlastitih izvora za obveze</w:t>
            </w:r>
          </w:p>
        </w:tc>
        <w:tc>
          <w:tcPr>
            <w:tcW w:w="700" w:type="dxa"/>
            <w:tcMar>
              <w:top w:w="0" w:type="dxa"/>
              <w:bottom w:w="0" w:type="dxa"/>
            </w:tcMar>
            <w:vAlign w:val="center"/>
          </w:tcPr>
          <w:p w14:paraId="4C4864CA" w14:textId="77777777" w:rsidR="002660AA" w:rsidRDefault="009B260F">
            <w:pPr>
              <w:keepNext/>
              <w:keepLines/>
              <w:spacing w:after="0" w:line="240" w:lineRule="auto"/>
            </w:pPr>
            <w:r>
              <w:rPr>
                <w:sz w:val="18"/>
              </w:rPr>
              <w:t>912</w:t>
            </w:r>
          </w:p>
        </w:tc>
        <w:tc>
          <w:tcPr>
            <w:tcW w:w="1860" w:type="dxa"/>
            <w:tcMar>
              <w:top w:w="0" w:type="dxa"/>
              <w:bottom w:w="0" w:type="dxa"/>
            </w:tcMar>
            <w:vAlign w:val="center"/>
          </w:tcPr>
          <w:p w14:paraId="104F8894" w14:textId="77777777" w:rsidR="002660AA" w:rsidRDefault="009B260F">
            <w:pPr>
              <w:keepNext/>
              <w:keepLines/>
              <w:spacing w:after="0" w:line="240" w:lineRule="auto"/>
              <w:jc w:val="right"/>
            </w:pPr>
            <w:r>
              <w:rPr>
                <w:sz w:val="18"/>
              </w:rPr>
              <w:t>10.462.482,73</w:t>
            </w:r>
          </w:p>
        </w:tc>
        <w:tc>
          <w:tcPr>
            <w:tcW w:w="1860" w:type="dxa"/>
            <w:tcMar>
              <w:top w:w="0" w:type="dxa"/>
              <w:bottom w:w="0" w:type="dxa"/>
            </w:tcMar>
            <w:vAlign w:val="center"/>
          </w:tcPr>
          <w:p w14:paraId="56375E85" w14:textId="77777777" w:rsidR="002660AA" w:rsidRDefault="009B260F">
            <w:pPr>
              <w:keepNext/>
              <w:keepLines/>
              <w:spacing w:after="0" w:line="240" w:lineRule="auto"/>
              <w:jc w:val="right"/>
            </w:pPr>
            <w:r>
              <w:rPr>
                <w:sz w:val="18"/>
              </w:rPr>
              <w:t>19.769.152,24</w:t>
            </w:r>
          </w:p>
        </w:tc>
        <w:tc>
          <w:tcPr>
            <w:tcW w:w="700" w:type="dxa"/>
            <w:tcMar>
              <w:top w:w="0" w:type="dxa"/>
              <w:bottom w:w="0" w:type="dxa"/>
            </w:tcMar>
            <w:vAlign w:val="center"/>
          </w:tcPr>
          <w:p w14:paraId="2531FC78" w14:textId="77777777" w:rsidR="002660AA" w:rsidRDefault="009B260F">
            <w:pPr>
              <w:keepNext/>
              <w:keepLines/>
              <w:spacing w:after="0" w:line="240" w:lineRule="auto"/>
              <w:jc w:val="right"/>
            </w:pPr>
            <w:r>
              <w:rPr>
                <w:sz w:val="18"/>
              </w:rPr>
              <w:t>189,0</w:t>
            </w:r>
          </w:p>
        </w:tc>
      </w:tr>
    </w:tbl>
    <w:p w14:paraId="253D1366" w14:textId="77777777" w:rsidR="002660AA" w:rsidRDefault="002660AA">
      <w:pPr>
        <w:spacing w:after="0"/>
      </w:pPr>
    </w:p>
    <w:p w14:paraId="331DF91C" w14:textId="77777777" w:rsidR="002660AA" w:rsidRDefault="009B260F">
      <w:r>
        <w:t>Skupina 912 – Ispravak vlastitih izvora za obveze u 2025. godini iznosi 19.769.152,24 EUR, što predstavlja značajno povećanje u odnosu na 2024. godinu (indeks 189). Povećanje je izravno povezano s rastom obveza za kredite i zajmove, odnosno evidentiranjem dugoročnih kredita kod HBOR-a za financiranje kapitalnih projekata te korištenjem kratkoročnog kredita kod PBZ d.d. radi osiguravanja likvidnosti tijekom provedbe investicija.</w:t>
      </w:r>
    </w:p>
    <w:p w14:paraId="1FEA84D6" w14:textId="77777777" w:rsidR="002660AA" w:rsidRDefault="002660AA"/>
    <w:p w14:paraId="02F6BB2C" w14:textId="77777777" w:rsidR="002660AA" w:rsidRDefault="009B260F">
      <w:pPr>
        <w:keepNext/>
        <w:spacing w:line="240" w:lineRule="auto"/>
        <w:jc w:val="center"/>
      </w:pPr>
      <w:r>
        <w:rPr>
          <w:b/>
          <w:sz w:val="28"/>
        </w:rPr>
        <w:t>Izvještaj o rashodima prema funkcijskoj klasifikaciji</w:t>
      </w:r>
    </w:p>
    <w:p w14:paraId="4E7727A7" w14:textId="77777777" w:rsidR="002660AA" w:rsidRDefault="009B260F">
      <w:pPr>
        <w:keepNext/>
        <w:spacing w:line="240" w:lineRule="auto"/>
        <w:jc w:val="center"/>
      </w:pPr>
      <w:r>
        <w:rPr>
          <w:sz w:val="28"/>
        </w:rPr>
        <w:t>Bilješka 130.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378527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C39130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49AD5F8"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30F655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0AE55DB"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B2050FC"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1CF9447" w14:textId="77777777" w:rsidR="002660AA" w:rsidRDefault="009B260F">
            <w:pPr>
              <w:keepNext/>
              <w:keepLines/>
              <w:spacing w:after="0" w:line="240" w:lineRule="auto"/>
              <w:jc w:val="center"/>
            </w:pPr>
            <w:r>
              <w:rPr>
                <w:b/>
                <w:sz w:val="18"/>
              </w:rPr>
              <w:t>Indeks (%)</w:t>
            </w:r>
          </w:p>
        </w:tc>
      </w:tr>
      <w:tr w:rsidR="002660AA" w14:paraId="733BCC5F" w14:textId="77777777">
        <w:tblPrEx>
          <w:tblCellMar>
            <w:top w:w="0" w:type="dxa"/>
            <w:bottom w:w="0" w:type="dxa"/>
          </w:tblCellMar>
        </w:tblPrEx>
        <w:trPr>
          <w:cantSplit/>
          <w:trHeight w:val="560"/>
        </w:trPr>
        <w:tc>
          <w:tcPr>
            <w:tcW w:w="700" w:type="dxa"/>
            <w:tcMar>
              <w:top w:w="0" w:type="dxa"/>
              <w:bottom w:w="0" w:type="dxa"/>
            </w:tcMar>
            <w:vAlign w:val="center"/>
          </w:tcPr>
          <w:p w14:paraId="6A01786C" w14:textId="77777777" w:rsidR="002660AA" w:rsidRDefault="009B260F">
            <w:pPr>
              <w:keepNext/>
              <w:keepLines/>
              <w:spacing w:after="0" w:line="240" w:lineRule="auto"/>
            </w:pPr>
            <w:r>
              <w:rPr>
                <w:sz w:val="18"/>
              </w:rPr>
              <w:t>01</w:t>
            </w:r>
          </w:p>
        </w:tc>
        <w:tc>
          <w:tcPr>
            <w:tcW w:w="3180" w:type="dxa"/>
            <w:tcMar>
              <w:top w:w="0" w:type="dxa"/>
              <w:bottom w:w="0" w:type="dxa"/>
            </w:tcMar>
            <w:vAlign w:val="center"/>
          </w:tcPr>
          <w:p w14:paraId="5575C08B" w14:textId="77777777" w:rsidR="002660AA" w:rsidRDefault="009B260F">
            <w:pPr>
              <w:keepNext/>
              <w:keepLines/>
              <w:spacing w:after="0" w:line="240" w:lineRule="auto"/>
            </w:pPr>
            <w:r>
              <w:rPr>
                <w:sz w:val="18"/>
              </w:rPr>
              <w:t>Opće javne usluge (šifre 011+012+013+014 do 018)</w:t>
            </w:r>
          </w:p>
        </w:tc>
        <w:tc>
          <w:tcPr>
            <w:tcW w:w="700" w:type="dxa"/>
            <w:tcMar>
              <w:top w:w="0" w:type="dxa"/>
              <w:bottom w:w="0" w:type="dxa"/>
            </w:tcMar>
            <w:vAlign w:val="center"/>
          </w:tcPr>
          <w:p w14:paraId="21687142" w14:textId="77777777" w:rsidR="002660AA" w:rsidRDefault="009B260F">
            <w:pPr>
              <w:keepNext/>
              <w:keepLines/>
              <w:spacing w:after="0" w:line="240" w:lineRule="auto"/>
            </w:pPr>
            <w:r>
              <w:rPr>
                <w:sz w:val="18"/>
              </w:rPr>
              <w:t>01</w:t>
            </w:r>
          </w:p>
        </w:tc>
        <w:tc>
          <w:tcPr>
            <w:tcW w:w="1860" w:type="dxa"/>
            <w:tcMar>
              <w:top w:w="0" w:type="dxa"/>
              <w:bottom w:w="0" w:type="dxa"/>
            </w:tcMar>
            <w:vAlign w:val="center"/>
          </w:tcPr>
          <w:p w14:paraId="3ECDC5DF" w14:textId="77777777" w:rsidR="002660AA" w:rsidRDefault="009B260F">
            <w:pPr>
              <w:keepNext/>
              <w:keepLines/>
              <w:spacing w:after="0" w:line="240" w:lineRule="auto"/>
              <w:jc w:val="right"/>
            </w:pPr>
            <w:r>
              <w:rPr>
                <w:sz w:val="18"/>
              </w:rPr>
              <w:t>3.366.073,60</w:t>
            </w:r>
          </w:p>
        </w:tc>
        <w:tc>
          <w:tcPr>
            <w:tcW w:w="1860" w:type="dxa"/>
            <w:tcMar>
              <w:top w:w="0" w:type="dxa"/>
              <w:bottom w:w="0" w:type="dxa"/>
            </w:tcMar>
            <w:vAlign w:val="center"/>
          </w:tcPr>
          <w:p w14:paraId="772CCE21" w14:textId="77777777" w:rsidR="002660AA" w:rsidRDefault="009B260F">
            <w:pPr>
              <w:keepNext/>
              <w:keepLines/>
              <w:spacing w:after="0" w:line="240" w:lineRule="auto"/>
              <w:jc w:val="right"/>
            </w:pPr>
            <w:r>
              <w:rPr>
                <w:sz w:val="18"/>
              </w:rPr>
              <w:t>4.307.441,57</w:t>
            </w:r>
          </w:p>
        </w:tc>
        <w:tc>
          <w:tcPr>
            <w:tcW w:w="700" w:type="dxa"/>
            <w:tcMar>
              <w:top w:w="0" w:type="dxa"/>
              <w:bottom w:w="0" w:type="dxa"/>
            </w:tcMar>
            <w:vAlign w:val="center"/>
          </w:tcPr>
          <w:p w14:paraId="0CECCB31" w14:textId="77777777" w:rsidR="002660AA" w:rsidRDefault="009B260F">
            <w:pPr>
              <w:keepNext/>
              <w:keepLines/>
              <w:spacing w:after="0" w:line="240" w:lineRule="auto"/>
              <w:jc w:val="right"/>
            </w:pPr>
            <w:r>
              <w:rPr>
                <w:sz w:val="18"/>
              </w:rPr>
              <w:t>128,0</w:t>
            </w:r>
          </w:p>
        </w:tc>
      </w:tr>
    </w:tbl>
    <w:p w14:paraId="581C53D8" w14:textId="77777777" w:rsidR="002660AA" w:rsidRDefault="002660AA">
      <w:pPr>
        <w:spacing w:after="0"/>
      </w:pPr>
    </w:p>
    <w:p w14:paraId="51C95EB5" w14:textId="77777777" w:rsidR="002660AA" w:rsidRDefault="009B260F">
      <w:r>
        <w:t>Opće javne usluge obuhvaća rashode koji omogućuju redovno i učinkovito funkcioniranje gradske uprave, predstavničkog i izvršnog tijela te upravnih odjela Grada.</w:t>
      </w:r>
      <w:r>
        <w:br/>
        <w:t>U 2025. godini rashodi ove funkcije ostvareni su u iznosu od 4.307.441,57 EUR, što predstavlja povećanje od 28 % u odnosu na 2024. godinu.</w:t>
      </w:r>
      <w:r>
        <w:br/>
        <w:t>Povećanje rashoda odnosi se prvenstveno na rashode za zaposlene te materijalne rashode vezane uz redovno poslovanje upravnih tijela, uključujući opće administrativne usluge, troškove izbora, rad Ureda gradonačelnika te ostale troškove nužne za nesmetano obavljanje poslova iz djelokruga Grada.</w:t>
      </w:r>
    </w:p>
    <w:p w14:paraId="35432C68" w14:textId="77777777" w:rsidR="002660AA" w:rsidRDefault="002660AA"/>
    <w:p w14:paraId="6D0B65C6" w14:textId="77777777" w:rsidR="002660AA" w:rsidRDefault="009B260F">
      <w:pPr>
        <w:keepNext/>
        <w:spacing w:line="240" w:lineRule="auto"/>
        <w:jc w:val="center"/>
      </w:pPr>
      <w:r>
        <w:rPr>
          <w:sz w:val="28"/>
        </w:rPr>
        <w:t>Bilješka 131.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9CF6273"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94C4E8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F6D2C3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A471DE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55285B9"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9E0F881"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6AA2EBA" w14:textId="77777777" w:rsidR="002660AA" w:rsidRDefault="009B260F">
            <w:pPr>
              <w:keepNext/>
              <w:keepLines/>
              <w:spacing w:after="0" w:line="240" w:lineRule="auto"/>
              <w:jc w:val="center"/>
            </w:pPr>
            <w:r>
              <w:rPr>
                <w:b/>
                <w:sz w:val="18"/>
              </w:rPr>
              <w:t>Indeks (%)</w:t>
            </w:r>
          </w:p>
        </w:tc>
      </w:tr>
      <w:tr w:rsidR="002660AA" w14:paraId="673DDC52" w14:textId="77777777">
        <w:tblPrEx>
          <w:tblCellMar>
            <w:top w:w="0" w:type="dxa"/>
            <w:bottom w:w="0" w:type="dxa"/>
          </w:tblCellMar>
        </w:tblPrEx>
        <w:trPr>
          <w:cantSplit/>
          <w:trHeight w:val="560"/>
        </w:trPr>
        <w:tc>
          <w:tcPr>
            <w:tcW w:w="700" w:type="dxa"/>
            <w:tcMar>
              <w:top w:w="0" w:type="dxa"/>
              <w:bottom w:w="0" w:type="dxa"/>
            </w:tcMar>
            <w:vAlign w:val="center"/>
          </w:tcPr>
          <w:p w14:paraId="64009730" w14:textId="77777777" w:rsidR="002660AA" w:rsidRDefault="009B260F">
            <w:pPr>
              <w:keepNext/>
              <w:keepLines/>
              <w:spacing w:after="0" w:line="240" w:lineRule="auto"/>
            </w:pPr>
            <w:r>
              <w:rPr>
                <w:sz w:val="18"/>
              </w:rPr>
              <w:t>0131</w:t>
            </w:r>
          </w:p>
        </w:tc>
        <w:tc>
          <w:tcPr>
            <w:tcW w:w="3180" w:type="dxa"/>
            <w:tcMar>
              <w:top w:w="0" w:type="dxa"/>
              <w:bottom w:w="0" w:type="dxa"/>
            </w:tcMar>
            <w:vAlign w:val="center"/>
          </w:tcPr>
          <w:p w14:paraId="05B4FC3C" w14:textId="77777777" w:rsidR="002660AA" w:rsidRDefault="009B260F">
            <w:pPr>
              <w:keepNext/>
              <w:keepLines/>
              <w:spacing w:after="0" w:line="240" w:lineRule="auto"/>
            </w:pPr>
            <w:r>
              <w:rPr>
                <w:sz w:val="18"/>
              </w:rPr>
              <w:t>Opće usluge vezane za službenike</w:t>
            </w:r>
          </w:p>
        </w:tc>
        <w:tc>
          <w:tcPr>
            <w:tcW w:w="700" w:type="dxa"/>
            <w:tcMar>
              <w:top w:w="0" w:type="dxa"/>
              <w:bottom w:w="0" w:type="dxa"/>
            </w:tcMar>
            <w:vAlign w:val="center"/>
          </w:tcPr>
          <w:p w14:paraId="0B3D3D93" w14:textId="77777777" w:rsidR="002660AA" w:rsidRDefault="009B260F">
            <w:pPr>
              <w:keepNext/>
              <w:keepLines/>
              <w:spacing w:after="0" w:line="240" w:lineRule="auto"/>
            </w:pPr>
            <w:r>
              <w:rPr>
                <w:sz w:val="18"/>
              </w:rPr>
              <w:t>0131</w:t>
            </w:r>
          </w:p>
        </w:tc>
        <w:tc>
          <w:tcPr>
            <w:tcW w:w="1860" w:type="dxa"/>
            <w:tcMar>
              <w:top w:w="0" w:type="dxa"/>
              <w:bottom w:w="0" w:type="dxa"/>
            </w:tcMar>
            <w:vAlign w:val="center"/>
          </w:tcPr>
          <w:p w14:paraId="476FF796" w14:textId="77777777" w:rsidR="002660AA" w:rsidRDefault="009B260F">
            <w:pPr>
              <w:keepNext/>
              <w:keepLines/>
              <w:spacing w:after="0" w:line="240" w:lineRule="auto"/>
              <w:jc w:val="right"/>
            </w:pPr>
            <w:r>
              <w:rPr>
                <w:sz w:val="18"/>
              </w:rPr>
              <w:t>2.753.502,22</w:t>
            </w:r>
          </w:p>
        </w:tc>
        <w:tc>
          <w:tcPr>
            <w:tcW w:w="1860" w:type="dxa"/>
            <w:tcMar>
              <w:top w:w="0" w:type="dxa"/>
              <w:bottom w:w="0" w:type="dxa"/>
            </w:tcMar>
            <w:vAlign w:val="center"/>
          </w:tcPr>
          <w:p w14:paraId="2D79FE66" w14:textId="77777777" w:rsidR="002660AA" w:rsidRDefault="009B260F">
            <w:pPr>
              <w:keepNext/>
              <w:keepLines/>
              <w:spacing w:after="0" w:line="240" w:lineRule="auto"/>
              <w:jc w:val="right"/>
            </w:pPr>
            <w:r>
              <w:rPr>
                <w:sz w:val="18"/>
              </w:rPr>
              <w:t>3.054.410,60</w:t>
            </w:r>
          </w:p>
        </w:tc>
        <w:tc>
          <w:tcPr>
            <w:tcW w:w="700" w:type="dxa"/>
            <w:tcMar>
              <w:top w:w="0" w:type="dxa"/>
              <w:bottom w:w="0" w:type="dxa"/>
            </w:tcMar>
            <w:vAlign w:val="center"/>
          </w:tcPr>
          <w:p w14:paraId="3C215EC7" w14:textId="77777777" w:rsidR="002660AA" w:rsidRDefault="009B260F">
            <w:pPr>
              <w:keepNext/>
              <w:keepLines/>
              <w:spacing w:after="0" w:line="240" w:lineRule="auto"/>
              <w:jc w:val="right"/>
            </w:pPr>
            <w:r>
              <w:rPr>
                <w:sz w:val="18"/>
              </w:rPr>
              <w:t>110,9</w:t>
            </w:r>
          </w:p>
        </w:tc>
      </w:tr>
    </w:tbl>
    <w:p w14:paraId="4B3A226F" w14:textId="77777777" w:rsidR="002660AA" w:rsidRDefault="002660AA">
      <w:pPr>
        <w:spacing w:after="0"/>
      </w:pPr>
    </w:p>
    <w:p w14:paraId="1047E4B4" w14:textId="77777777" w:rsidR="002660AA" w:rsidRDefault="009B260F">
      <w:r>
        <w:t>Funkcija 0131 - Opće usluge vezane za zaposlene u 2025. godini ostvarene su u iznosu od 3.054.410,60 EUR, što predstavlja povećanje od 10,9 % u odnosu na prethodnu godinu. Ova funkcija obuhvaća rashode za zaposlene, rashode za računalne usluge te rashode za nabavu opreme i računalnih programa potrebnih za rad upravnih tijela Grada.</w:t>
      </w:r>
    </w:p>
    <w:p w14:paraId="311D81D7" w14:textId="77777777" w:rsidR="002660AA" w:rsidRDefault="002660AA"/>
    <w:p w14:paraId="540AF4A3" w14:textId="77777777" w:rsidR="002660AA" w:rsidRDefault="009B260F">
      <w:pPr>
        <w:keepNext/>
        <w:spacing w:line="240" w:lineRule="auto"/>
        <w:jc w:val="center"/>
      </w:pPr>
      <w:r>
        <w:rPr>
          <w:sz w:val="28"/>
        </w:rPr>
        <w:t>Bilješka 132.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239CB6A"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35801C2"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248429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92EC5B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264B05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0BCCBFF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8EC099E" w14:textId="77777777" w:rsidR="002660AA" w:rsidRDefault="009B260F">
            <w:pPr>
              <w:keepNext/>
              <w:keepLines/>
              <w:spacing w:after="0" w:line="240" w:lineRule="auto"/>
              <w:jc w:val="center"/>
            </w:pPr>
            <w:r>
              <w:rPr>
                <w:b/>
                <w:sz w:val="18"/>
              </w:rPr>
              <w:t>Indeks (%)</w:t>
            </w:r>
          </w:p>
        </w:tc>
      </w:tr>
      <w:tr w:rsidR="002660AA" w14:paraId="28885342" w14:textId="77777777">
        <w:tblPrEx>
          <w:tblCellMar>
            <w:top w:w="0" w:type="dxa"/>
            <w:bottom w:w="0" w:type="dxa"/>
          </w:tblCellMar>
        </w:tblPrEx>
        <w:trPr>
          <w:cantSplit/>
          <w:trHeight w:val="560"/>
        </w:trPr>
        <w:tc>
          <w:tcPr>
            <w:tcW w:w="700" w:type="dxa"/>
            <w:tcMar>
              <w:top w:w="0" w:type="dxa"/>
              <w:bottom w:w="0" w:type="dxa"/>
            </w:tcMar>
            <w:vAlign w:val="center"/>
          </w:tcPr>
          <w:p w14:paraId="1E3D7342" w14:textId="77777777" w:rsidR="002660AA" w:rsidRDefault="009B260F">
            <w:pPr>
              <w:keepNext/>
              <w:keepLines/>
              <w:spacing w:after="0" w:line="240" w:lineRule="auto"/>
            </w:pPr>
            <w:r>
              <w:rPr>
                <w:sz w:val="18"/>
              </w:rPr>
              <w:t>016</w:t>
            </w:r>
          </w:p>
        </w:tc>
        <w:tc>
          <w:tcPr>
            <w:tcW w:w="3180" w:type="dxa"/>
            <w:tcMar>
              <w:top w:w="0" w:type="dxa"/>
              <w:bottom w:w="0" w:type="dxa"/>
            </w:tcMar>
            <w:vAlign w:val="center"/>
          </w:tcPr>
          <w:p w14:paraId="367B64F9" w14:textId="77777777" w:rsidR="002660AA" w:rsidRDefault="009B260F">
            <w:pPr>
              <w:keepNext/>
              <w:keepLines/>
              <w:spacing w:after="0" w:line="240" w:lineRule="auto"/>
            </w:pPr>
            <w:r>
              <w:rPr>
                <w:sz w:val="18"/>
              </w:rPr>
              <w:t>Opće javne usluge koje nisu drugdje svrstane</w:t>
            </w:r>
          </w:p>
        </w:tc>
        <w:tc>
          <w:tcPr>
            <w:tcW w:w="700" w:type="dxa"/>
            <w:tcMar>
              <w:top w:w="0" w:type="dxa"/>
              <w:bottom w:w="0" w:type="dxa"/>
            </w:tcMar>
            <w:vAlign w:val="center"/>
          </w:tcPr>
          <w:p w14:paraId="36DD6E90" w14:textId="77777777" w:rsidR="002660AA" w:rsidRDefault="009B260F">
            <w:pPr>
              <w:keepNext/>
              <w:keepLines/>
              <w:spacing w:after="0" w:line="240" w:lineRule="auto"/>
            </w:pPr>
            <w:r>
              <w:rPr>
                <w:sz w:val="18"/>
              </w:rPr>
              <w:t>016</w:t>
            </w:r>
          </w:p>
        </w:tc>
        <w:tc>
          <w:tcPr>
            <w:tcW w:w="1860" w:type="dxa"/>
            <w:tcMar>
              <w:top w:w="0" w:type="dxa"/>
              <w:bottom w:w="0" w:type="dxa"/>
            </w:tcMar>
            <w:vAlign w:val="center"/>
          </w:tcPr>
          <w:p w14:paraId="67E75670" w14:textId="77777777" w:rsidR="002660AA" w:rsidRDefault="009B260F">
            <w:pPr>
              <w:keepNext/>
              <w:keepLines/>
              <w:spacing w:after="0" w:line="240" w:lineRule="auto"/>
              <w:jc w:val="right"/>
            </w:pPr>
            <w:r>
              <w:rPr>
                <w:sz w:val="18"/>
              </w:rPr>
              <w:t>2.651,25</w:t>
            </w:r>
          </w:p>
        </w:tc>
        <w:tc>
          <w:tcPr>
            <w:tcW w:w="1860" w:type="dxa"/>
            <w:tcMar>
              <w:top w:w="0" w:type="dxa"/>
              <w:bottom w:w="0" w:type="dxa"/>
            </w:tcMar>
            <w:vAlign w:val="center"/>
          </w:tcPr>
          <w:p w14:paraId="30EBF582" w14:textId="77777777" w:rsidR="002660AA" w:rsidRDefault="009B260F">
            <w:pPr>
              <w:keepNext/>
              <w:keepLines/>
              <w:spacing w:after="0" w:line="240" w:lineRule="auto"/>
              <w:jc w:val="right"/>
            </w:pPr>
            <w:r>
              <w:rPr>
                <w:sz w:val="18"/>
              </w:rPr>
              <w:t>523.615,56</w:t>
            </w:r>
          </w:p>
        </w:tc>
        <w:tc>
          <w:tcPr>
            <w:tcW w:w="700" w:type="dxa"/>
            <w:tcMar>
              <w:top w:w="0" w:type="dxa"/>
              <w:bottom w:w="0" w:type="dxa"/>
            </w:tcMar>
            <w:vAlign w:val="center"/>
          </w:tcPr>
          <w:p w14:paraId="67364880" w14:textId="77777777" w:rsidR="002660AA" w:rsidRDefault="009B260F">
            <w:pPr>
              <w:keepNext/>
              <w:keepLines/>
              <w:spacing w:after="0" w:line="240" w:lineRule="auto"/>
              <w:jc w:val="right"/>
            </w:pPr>
            <w:r>
              <w:rPr>
                <w:sz w:val="18"/>
              </w:rPr>
              <w:t>&gt;&gt;100</w:t>
            </w:r>
          </w:p>
        </w:tc>
      </w:tr>
    </w:tbl>
    <w:p w14:paraId="10EECF04" w14:textId="77777777" w:rsidR="002660AA" w:rsidRDefault="002660AA">
      <w:pPr>
        <w:spacing w:after="0"/>
      </w:pPr>
    </w:p>
    <w:p w14:paraId="34887D3C" w14:textId="77777777" w:rsidR="002660AA" w:rsidRDefault="009B260F">
      <w:r>
        <w:t>Funkcija 016 - Opće javne usluge koje nisu drugdje svrstane u 2025. godini ostvarena je u iznosu od 523.615,56 EUR, dok je u prethodnoj godini iznosila 2.651,25 EUR. Značajno povećanje rashoda rezultat je provedbe predsjedničkih izbora, pri čemu su evidentirani rashodi za naknade članovima biračkih odbora, naknade domarima, troškove rada Gradskog izbornog povjerenstva (GIP) te ostale organizacijske i tehničke troškove vezane uz provedbu izbora.</w:t>
      </w:r>
    </w:p>
    <w:p w14:paraId="733923C9" w14:textId="77777777" w:rsidR="002660AA" w:rsidRDefault="002660AA"/>
    <w:p w14:paraId="721ED0AD" w14:textId="77777777" w:rsidR="002660AA" w:rsidRDefault="009B260F">
      <w:pPr>
        <w:keepNext/>
        <w:spacing w:line="240" w:lineRule="auto"/>
        <w:jc w:val="center"/>
      </w:pPr>
      <w:r>
        <w:rPr>
          <w:sz w:val="28"/>
        </w:rPr>
        <w:t>Bilješka 133.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90C1D9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3386407"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56218A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F590D7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6669B0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955F445"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188D2CF" w14:textId="77777777" w:rsidR="002660AA" w:rsidRDefault="009B260F">
            <w:pPr>
              <w:keepNext/>
              <w:keepLines/>
              <w:spacing w:after="0" w:line="240" w:lineRule="auto"/>
              <w:jc w:val="center"/>
            </w:pPr>
            <w:r>
              <w:rPr>
                <w:b/>
                <w:sz w:val="18"/>
              </w:rPr>
              <w:t>Indeks (%)</w:t>
            </w:r>
          </w:p>
        </w:tc>
      </w:tr>
      <w:tr w:rsidR="002660AA" w14:paraId="1B3B47FE" w14:textId="77777777">
        <w:tblPrEx>
          <w:tblCellMar>
            <w:top w:w="0" w:type="dxa"/>
            <w:bottom w:w="0" w:type="dxa"/>
          </w:tblCellMar>
        </w:tblPrEx>
        <w:trPr>
          <w:cantSplit/>
          <w:trHeight w:val="560"/>
        </w:trPr>
        <w:tc>
          <w:tcPr>
            <w:tcW w:w="700" w:type="dxa"/>
            <w:tcMar>
              <w:top w:w="0" w:type="dxa"/>
              <w:bottom w:w="0" w:type="dxa"/>
            </w:tcMar>
            <w:vAlign w:val="center"/>
          </w:tcPr>
          <w:p w14:paraId="30D76A18" w14:textId="77777777" w:rsidR="002660AA" w:rsidRDefault="009B260F">
            <w:pPr>
              <w:keepNext/>
              <w:keepLines/>
              <w:spacing w:after="0" w:line="240" w:lineRule="auto"/>
            </w:pPr>
            <w:r>
              <w:rPr>
                <w:sz w:val="18"/>
              </w:rPr>
              <w:t>017</w:t>
            </w:r>
          </w:p>
        </w:tc>
        <w:tc>
          <w:tcPr>
            <w:tcW w:w="3180" w:type="dxa"/>
            <w:tcMar>
              <w:top w:w="0" w:type="dxa"/>
              <w:bottom w:w="0" w:type="dxa"/>
            </w:tcMar>
            <w:vAlign w:val="center"/>
          </w:tcPr>
          <w:p w14:paraId="530DDE74" w14:textId="77777777" w:rsidR="002660AA" w:rsidRDefault="009B260F">
            <w:pPr>
              <w:keepNext/>
              <w:keepLines/>
              <w:spacing w:after="0" w:line="240" w:lineRule="auto"/>
            </w:pPr>
            <w:r>
              <w:rPr>
                <w:sz w:val="18"/>
              </w:rPr>
              <w:t>Transakcije vezane za javni dug</w:t>
            </w:r>
          </w:p>
        </w:tc>
        <w:tc>
          <w:tcPr>
            <w:tcW w:w="700" w:type="dxa"/>
            <w:tcMar>
              <w:top w:w="0" w:type="dxa"/>
              <w:bottom w:w="0" w:type="dxa"/>
            </w:tcMar>
            <w:vAlign w:val="center"/>
          </w:tcPr>
          <w:p w14:paraId="561BE9C5" w14:textId="77777777" w:rsidR="002660AA" w:rsidRDefault="009B260F">
            <w:pPr>
              <w:keepNext/>
              <w:keepLines/>
              <w:spacing w:after="0" w:line="240" w:lineRule="auto"/>
            </w:pPr>
            <w:r>
              <w:rPr>
                <w:sz w:val="18"/>
              </w:rPr>
              <w:t>017</w:t>
            </w:r>
          </w:p>
        </w:tc>
        <w:tc>
          <w:tcPr>
            <w:tcW w:w="1860" w:type="dxa"/>
            <w:tcMar>
              <w:top w:w="0" w:type="dxa"/>
              <w:bottom w:w="0" w:type="dxa"/>
            </w:tcMar>
            <w:vAlign w:val="center"/>
          </w:tcPr>
          <w:p w14:paraId="07E41E69" w14:textId="77777777" w:rsidR="002660AA" w:rsidRDefault="009B260F">
            <w:pPr>
              <w:keepNext/>
              <w:keepLines/>
              <w:spacing w:after="0" w:line="240" w:lineRule="auto"/>
              <w:jc w:val="right"/>
            </w:pPr>
            <w:r>
              <w:rPr>
                <w:sz w:val="18"/>
              </w:rPr>
              <w:t>121.081,40</w:t>
            </w:r>
          </w:p>
        </w:tc>
        <w:tc>
          <w:tcPr>
            <w:tcW w:w="1860" w:type="dxa"/>
            <w:tcMar>
              <w:top w:w="0" w:type="dxa"/>
              <w:bottom w:w="0" w:type="dxa"/>
            </w:tcMar>
            <w:vAlign w:val="center"/>
          </w:tcPr>
          <w:p w14:paraId="556F4E93" w14:textId="77777777" w:rsidR="002660AA" w:rsidRDefault="009B260F">
            <w:pPr>
              <w:keepNext/>
              <w:keepLines/>
              <w:spacing w:after="0" w:line="240" w:lineRule="auto"/>
              <w:jc w:val="right"/>
            </w:pPr>
            <w:r>
              <w:rPr>
                <w:sz w:val="18"/>
              </w:rPr>
              <w:t>232.287,61</w:t>
            </w:r>
          </w:p>
        </w:tc>
        <w:tc>
          <w:tcPr>
            <w:tcW w:w="700" w:type="dxa"/>
            <w:tcMar>
              <w:top w:w="0" w:type="dxa"/>
              <w:bottom w:w="0" w:type="dxa"/>
            </w:tcMar>
            <w:vAlign w:val="center"/>
          </w:tcPr>
          <w:p w14:paraId="2A265298" w14:textId="77777777" w:rsidR="002660AA" w:rsidRDefault="009B260F">
            <w:pPr>
              <w:keepNext/>
              <w:keepLines/>
              <w:spacing w:after="0" w:line="240" w:lineRule="auto"/>
              <w:jc w:val="right"/>
            </w:pPr>
            <w:r>
              <w:rPr>
                <w:sz w:val="18"/>
              </w:rPr>
              <w:t>191,8</w:t>
            </w:r>
          </w:p>
        </w:tc>
      </w:tr>
    </w:tbl>
    <w:p w14:paraId="4C45ACA5" w14:textId="77777777" w:rsidR="002660AA" w:rsidRDefault="002660AA">
      <w:pPr>
        <w:spacing w:after="0"/>
      </w:pPr>
    </w:p>
    <w:p w14:paraId="27FD19D3" w14:textId="77777777" w:rsidR="002660AA" w:rsidRDefault="009B260F">
      <w:r>
        <w:t>Funkcija 017 - Transakcije vezane za javni dug u 2025. godini ostvarena je u iznosu od 232.287,61 EUR, što predstavlja povećanje od 91,8 % u odnosu na prethodnu godinu. Rashodi ove funkcije odnose se na plaćanje redovnih kamata po dugoročnim kreditima od HBOR-a, Erste banke i OTP banke, kao i na kamate po kratkoročnom kreditu od PBZ d.d. u iznosu od 5.000.000,00 EUR. Također, povećanje rashoda rezultat je obračuna i plaćanja interkalarnih kamata po kreditima HBOR-a vezanim uz dugoročna zaduženja za realizac</w:t>
      </w:r>
      <w:r>
        <w:t>iju kapitalnih projekata, uključujući Postrojenje za sortiranje odvojeno prikupljenog otpada - sortirnica Herešin te izgradnju Dječjeg vrtića Bajer.</w:t>
      </w:r>
    </w:p>
    <w:p w14:paraId="33D46C00" w14:textId="77777777" w:rsidR="002660AA" w:rsidRDefault="002660AA"/>
    <w:p w14:paraId="77400640" w14:textId="77777777" w:rsidR="002660AA" w:rsidRDefault="009B260F">
      <w:pPr>
        <w:keepNext/>
        <w:spacing w:line="240" w:lineRule="auto"/>
        <w:jc w:val="center"/>
      </w:pPr>
      <w:r>
        <w:rPr>
          <w:sz w:val="28"/>
        </w:rPr>
        <w:t>Bilješka 134.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E202E3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E3CC5A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C78649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1B7367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CB05B2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4A4BEC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F38B90F" w14:textId="77777777" w:rsidR="002660AA" w:rsidRDefault="009B260F">
            <w:pPr>
              <w:keepNext/>
              <w:keepLines/>
              <w:spacing w:after="0" w:line="240" w:lineRule="auto"/>
              <w:jc w:val="center"/>
            </w:pPr>
            <w:r>
              <w:rPr>
                <w:b/>
                <w:sz w:val="18"/>
              </w:rPr>
              <w:t>Indeks (%)</w:t>
            </w:r>
          </w:p>
        </w:tc>
      </w:tr>
      <w:tr w:rsidR="002660AA" w14:paraId="0B8A5464" w14:textId="77777777">
        <w:tblPrEx>
          <w:tblCellMar>
            <w:top w:w="0" w:type="dxa"/>
            <w:bottom w:w="0" w:type="dxa"/>
          </w:tblCellMar>
        </w:tblPrEx>
        <w:trPr>
          <w:cantSplit/>
          <w:trHeight w:val="560"/>
        </w:trPr>
        <w:tc>
          <w:tcPr>
            <w:tcW w:w="700" w:type="dxa"/>
            <w:tcMar>
              <w:top w:w="0" w:type="dxa"/>
              <w:bottom w:w="0" w:type="dxa"/>
            </w:tcMar>
            <w:vAlign w:val="center"/>
          </w:tcPr>
          <w:p w14:paraId="1399F5E9" w14:textId="77777777" w:rsidR="002660AA" w:rsidRDefault="009B260F">
            <w:pPr>
              <w:keepNext/>
              <w:keepLines/>
              <w:spacing w:after="0" w:line="240" w:lineRule="auto"/>
            </w:pPr>
            <w:r>
              <w:rPr>
                <w:sz w:val="18"/>
              </w:rPr>
              <w:t>03</w:t>
            </w:r>
          </w:p>
        </w:tc>
        <w:tc>
          <w:tcPr>
            <w:tcW w:w="3180" w:type="dxa"/>
            <w:tcMar>
              <w:top w:w="0" w:type="dxa"/>
              <w:bottom w:w="0" w:type="dxa"/>
            </w:tcMar>
            <w:vAlign w:val="center"/>
          </w:tcPr>
          <w:p w14:paraId="147B9DC6" w14:textId="77777777" w:rsidR="002660AA" w:rsidRDefault="009B260F">
            <w:pPr>
              <w:keepNext/>
              <w:keepLines/>
              <w:spacing w:after="0" w:line="240" w:lineRule="auto"/>
            </w:pPr>
            <w:r>
              <w:rPr>
                <w:sz w:val="18"/>
              </w:rPr>
              <w:t>Javni red i sigurnost (šifre 031 do 036)</w:t>
            </w:r>
          </w:p>
        </w:tc>
        <w:tc>
          <w:tcPr>
            <w:tcW w:w="700" w:type="dxa"/>
            <w:tcMar>
              <w:top w:w="0" w:type="dxa"/>
              <w:bottom w:w="0" w:type="dxa"/>
            </w:tcMar>
            <w:vAlign w:val="center"/>
          </w:tcPr>
          <w:p w14:paraId="65607C42" w14:textId="77777777" w:rsidR="002660AA" w:rsidRDefault="009B260F">
            <w:pPr>
              <w:keepNext/>
              <w:keepLines/>
              <w:spacing w:after="0" w:line="240" w:lineRule="auto"/>
            </w:pPr>
            <w:r>
              <w:rPr>
                <w:sz w:val="18"/>
              </w:rPr>
              <w:t>03</w:t>
            </w:r>
          </w:p>
        </w:tc>
        <w:tc>
          <w:tcPr>
            <w:tcW w:w="1860" w:type="dxa"/>
            <w:tcMar>
              <w:top w:w="0" w:type="dxa"/>
              <w:bottom w:w="0" w:type="dxa"/>
            </w:tcMar>
            <w:vAlign w:val="center"/>
          </w:tcPr>
          <w:p w14:paraId="418BED2F" w14:textId="77777777" w:rsidR="002660AA" w:rsidRDefault="009B260F">
            <w:pPr>
              <w:keepNext/>
              <w:keepLines/>
              <w:spacing w:after="0" w:line="240" w:lineRule="auto"/>
              <w:jc w:val="right"/>
            </w:pPr>
            <w:r>
              <w:rPr>
                <w:sz w:val="18"/>
              </w:rPr>
              <w:t>300.992,79</w:t>
            </w:r>
          </w:p>
        </w:tc>
        <w:tc>
          <w:tcPr>
            <w:tcW w:w="1860" w:type="dxa"/>
            <w:tcMar>
              <w:top w:w="0" w:type="dxa"/>
              <w:bottom w:w="0" w:type="dxa"/>
            </w:tcMar>
            <w:vAlign w:val="center"/>
          </w:tcPr>
          <w:p w14:paraId="3016EB8F" w14:textId="77777777" w:rsidR="002660AA" w:rsidRDefault="009B260F">
            <w:pPr>
              <w:keepNext/>
              <w:keepLines/>
              <w:spacing w:after="0" w:line="240" w:lineRule="auto"/>
              <w:jc w:val="right"/>
            </w:pPr>
            <w:r>
              <w:rPr>
                <w:sz w:val="18"/>
              </w:rPr>
              <w:t>431.419,44</w:t>
            </w:r>
          </w:p>
        </w:tc>
        <w:tc>
          <w:tcPr>
            <w:tcW w:w="700" w:type="dxa"/>
            <w:tcMar>
              <w:top w:w="0" w:type="dxa"/>
              <w:bottom w:w="0" w:type="dxa"/>
            </w:tcMar>
            <w:vAlign w:val="center"/>
          </w:tcPr>
          <w:p w14:paraId="7A578B5C" w14:textId="77777777" w:rsidR="002660AA" w:rsidRDefault="009B260F">
            <w:pPr>
              <w:keepNext/>
              <w:keepLines/>
              <w:spacing w:after="0" w:line="240" w:lineRule="auto"/>
              <w:jc w:val="right"/>
            </w:pPr>
            <w:r>
              <w:rPr>
                <w:sz w:val="18"/>
              </w:rPr>
              <w:t>143,3</w:t>
            </w:r>
          </w:p>
        </w:tc>
      </w:tr>
    </w:tbl>
    <w:p w14:paraId="54D43F7E" w14:textId="77777777" w:rsidR="002660AA" w:rsidRDefault="002660AA">
      <w:pPr>
        <w:spacing w:after="0"/>
      </w:pPr>
    </w:p>
    <w:p w14:paraId="6D94A355" w14:textId="77777777" w:rsidR="002660AA" w:rsidRDefault="009B260F">
      <w:r>
        <w:t>Rashodi funkcije 03 - Javni red i sigurnost u 2025. godini ostvareni su u iznosu od 431.419,44 EUR, što je za 130.426,65 EUR više u odnosu na 2024. godinu, kada su iznosili 300.992,79 EUR. Povećanje rashoda rezultat je većih sredstava doznačenih Vatrogasnoj zajednici Grada Koprivnice.</w:t>
      </w:r>
    </w:p>
    <w:p w14:paraId="7A4AD68E" w14:textId="77777777" w:rsidR="002660AA" w:rsidRDefault="002660AA"/>
    <w:p w14:paraId="24160E55" w14:textId="77777777" w:rsidR="002660AA" w:rsidRDefault="009B260F">
      <w:pPr>
        <w:keepNext/>
        <w:spacing w:line="240" w:lineRule="auto"/>
        <w:jc w:val="center"/>
      </w:pPr>
      <w:r>
        <w:rPr>
          <w:sz w:val="28"/>
        </w:rPr>
        <w:t>Bilješka 135.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429A9E4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D309962"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C7941E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2E1498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7CF86E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F764BB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8438D90" w14:textId="77777777" w:rsidR="002660AA" w:rsidRDefault="009B260F">
            <w:pPr>
              <w:keepNext/>
              <w:keepLines/>
              <w:spacing w:after="0" w:line="240" w:lineRule="auto"/>
              <w:jc w:val="center"/>
            </w:pPr>
            <w:r>
              <w:rPr>
                <w:b/>
                <w:sz w:val="18"/>
              </w:rPr>
              <w:t>Indeks (%)</w:t>
            </w:r>
          </w:p>
        </w:tc>
      </w:tr>
      <w:tr w:rsidR="002660AA" w14:paraId="4A13D816" w14:textId="77777777">
        <w:tblPrEx>
          <w:tblCellMar>
            <w:top w:w="0" w:type="dxa"/>
            <w:bottom w:w="0" w:type="dxa"/>
          </w:tblCellMar>
        </w:tblPrEx>
        <w:trPr>
          <w:cantSplit/>
          <w:trHeight w:val="560"/>
        </w:trPr>
        <w:tc>
          <w:tcPr>
            <w:tcW w:w="700" w:type="dxa"/>
            <w:tcMar>
              <w:top w:w="0" w:type="dxa"/>
              <w:bottom w:w="0" w:type="dxa"/>
            </w:tcMar>
            <w:vAlign w:val="center"/>
          </w:tcPr>
          <w:p w14:paraId="40B8241A" w14:textId="77777777" w:rsidR="002660AA" w:rsidRDefault="009B260F">
            <w:pPr>
              <w:keepNext/>
              <w:keepLines/>
              <w:spacing w:after="0" w:line="240" w:lineRule="auto"/>
            </w:pPr>
            <w:r>
              <w:rPr>
                <w:sz w:val="18"/>
              </w:rPr>
              <w:t>0412</w:t>
            </w:r>
          </w:p>
        </w:tc>
        <w:tc>
          <w:tcPr>
            <w:tcW w:w="3180" w:type="dxa"/>
            <w:tcMar>
              <w:top w:w="0" w:type="dxa"/>
              <w:bottom w:w="0" w:type="dxa"/>
            </w:tcMar>
            <w:vAlign w:val="center"/>
          </w:tcPr>
          <w:p w14:paraId="734DC665" w14:textId="77777777" w:rsidR="002660AA" w:rsidRDefault="009B260F">
            <w:pPr>
              <w:keepNext/>
              <w:keepLines/>
              <w:spacing w:after="0" w:line="240" w:lineRule="auto"/>
            </w:pPr>
            <w:r>
              <w:rPr>
                <w:sz w:val="18"/>
              </w:rPr>
              <w:t>Opći poslovi vezani uz rad</w:t>
            </w:r>
          </w:p>
        </w:tc>
        <w:tc>
          <w:tcPr>
            <w:tcW w:w="700" w:type="dxa"/>
            <w:tcMar>
              <w:top w:w="0" w:type="dxa"/>
              <w:bottom w:w="0" w:type="dxa"/>
            </w:tcMar>
            <w:vAlign w:val="center"/>
          </w:tcPr>
          <w:p w14:paraId="09C0FF70" w14:textId="77777777" w:rsidR="002660AA" w:rsidRDefault="009B260F">
            <w:pPr>
              <w:keepNext/>
              <w:keepLines/>
              <w:spacing w:after="0" w:line="240" w:lineRule="auto"/>
            </w:pPr>
            <w:r>
              <w:rPr>
                <w:sz w:val="18"/>
              </w:rPr>
              <w:t>0412</w:t>
            </w:r>
          </w:p>
        </w:tc>
        <w:tc>
          <w:tcPr>
            <w:tcW w:w="1860" w:type="dxa"/>
            <w:tcMar>
              <w:top w:w="0" w:type="dxa"/>
              <w:bottom w:w="0" w:type="dxa"/>
            </w:tcMar>
            <w:vAlign w:val="center"/>
          </w:tcPr>
          <w:p w14:paraId="4C143125" w14:textId="77777777" w:rsidR="002660AA" w:rsidRDefault="009B260F">
            <w:pPr>
              <w:keepNext/>
              <w:keepLines/>
              <w:spacing w:after="0" w:line="240" w:lineRule="auto"/>
              <w:jc w:val="right"/>
            </w:pPr>
            <w:r>
              <w:rPr>
                <w:sz w:val="18"/>
              </w:rPr>
              <w:t>55.237,26</w:t>
            </w:r>
          </w:p>
        </w:tc>
        <w:tc>
          <w:tcPr>
            <w:tcW w:w="1860" w:type="dxa"/>
            <w:tcMar>
              <w:top w:w="0" w:type="dxa"/>
              <w:bottom w:w="0" w:type="dxa"/>
            </w:tcMar>
            <w:vAlign w:val="center"/>
          </w:tcPr>
          <w:p w14:paraId="3DAE40E4" w14:textId="77777777" w:rsidR="002660AA" w:rsidRDefault="009B260F">
            <w:pPr>
              <w:keepNext/>
              <w:keepLines/>
              <w:spacing w:after="0" w:line="240" w:lineRule="auto"/>
              <w:jc w:val="right"/>
            </w:pPr>
            <w:r>
              <w:rPr>
                <w:sz w:val="18"/>
              </w:rPr>
              <w:t>114.201,04</w:t>
            </w:r>
          </w:p>
        </w:tc>
        <w:tc>
          <w:tcPr>
            <w:tcW w:w="700" w:type="dxa"/>
            <w:tcMar>
              <w:top w:w="0" w:type="dxa"/>
              <w:bottom w:w="0" w:type="dxa"/>
            </w:tcMar>
            <w:vAlign w:val="center"/>
          </w:tcPr>
          <w:p w14:paraId="60FC4C9C" w14:textId="77777777" w:rsidR="002660AA" w:rsidRDefault="009B260F">
            <w:pPr>
              <w:keepNext/>
              <w:keepLines/>
              <w:spacing w:after="0" w:line="240" w:lineRule="auto"/>
              <w:jc w:val="right"/>
            </w:pPr>
            <w:r>
              <w:rPr>
                <w:sz w:val="18"/>
              </w:rPr>
              <w:t>206,7</w:t>
            </w:r>
          </w:p>
        </w:tc>
      </w:tr>
    </w:tbl>
    <w:p w14:paraId="76558E8B" w14:textId="77777777" w:rsidR="002660AA" w:rsidRDefault="002660AA">
      <w:pPr>
        <w:spacing w:after="0"/>
      </w:pPr>
    </w:p>
    <w:p w14:paraId="4B4A606F" w14:textId="77777777" w:rsidR="002660AA" w:rsidRDefault="009B260F">
      <w:r>
        <w:t>Funkcija 0412 - Opći poslovi vezani uz rad u 2025. godini ostvarena je u iznosu od 114.201,04 EUR, uz indeks od 206,7 u odnosu na 2024. godinu, što predstavlja povećanje od 106,7 %. Značajno povećanje rashoda rezultat je većeg broja zaposlenih osoba putem programa javnih radova u izvještajnom razdoblju. Rashodi se odnose na troškove plaća i pripadajućih doprinosa za zaposlene uključene u navedeni program, sukladno mjerama aktivne politike zapošljavanja.</w:t>
      </w:r>
    </w:p>
    <w:p w14:paraId="7F625890" w14:textId="77777777" w:rsidR="002660AA" w:rsidRDefault="002660AA"/>
    <w:p w14:paraId="7AEC8F22" w14:textId="77777777" w:rsidR="002660AA" w:rsidRDefault="009B260F">
      <w:pPr>
        <w:keepNext/>
        <w:spacing w:line="240" w:lineRule="auto"/>
        <w:jc w:val="center"/>
      </w:pPr>
      <w:r>
        <w:rPr>
          <w:sz w:val="28"/>
        </w:rPr>
        <w:t>Bilješka 136.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D01782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03C113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B6E8E80"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B5DC4E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7589ED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DD1DF9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77C7781" w14:textId="77777777" w:rsidR="002660AA" w:rsidRDefault="009B260F">
            <w:pPr>
              <w:keepNext/>
              <w:keepLines/>
              <w:spacing w:after="0" w:line="240" w:lineRule="auto"/>
              <w:jc w:val="center"/>
            </w:pPr>
            <w:r>
              <w:rPr>
                <w:b/>
                <w:sz w:val="18"/>
              </w:rPr>
              <w:t>Indeks (%)</w:t>
            </w:r>
          </w:p>
        </w:tc>
      </w:tr>
      <w:tr w:rsidR="002660AA" w14:paraId="32CA1389" w14:textId="77777777">
        <w:tblPrEx>
          <w:tblCellMar>
            <w:top w:w="0" w:type="dxa"/>
            <w:bottom w:w="0" w:type="dxa"/>
          </w:tblCellMar>
        </w:tblPrEx>
        <w:trPr>
          <w:cantSplit/>
          <w:trHeight w:val="560"/>
        </w:trPr>
        <w:tc>
          <w:tcPr>
            <w:tcW w:w="700" w:type="dxa"/>
            <w:tcMar>
              <w:top w:w="0" w:type="dxa"/>
              <w:bottom w:w="0" w:type="dxa"/>
            </w:tcMar>
            <w:vAlign w:val="center"/>
          </w:tcPr>
          <w:p w14:paraId="1C6BB71B" w14:textId="77777777" w:rsidR="002660AA" w:rsidRDefault="009B260F">
            <w:pPr>
              <w:keepNext/>
              <w:keepLines/>
              <w:spacing w:after="0" w:line="240" w:lineRule="auto"/>
            </w:pPr>
            <w:r>
              <w:rPr>
                <w:sz w:val="18"/>
              </w:rPr>
              <w:t>0451</w:t>
            </w:r>
          </w:p>
        </w:tc>
        <w:tc>
          <w:tcPr>
            <w:tcW w:w="3180" w:type="dxa"/>
            <w:tcMar>
              <w:top w:w="0" w:type="dxa"/>
              <w:bottom w:w="0" w:type="dxa"/>
            </w:tcMar>
            <w:vAlign w:val="center"/>
          </w:tcPr>
          <w:p w14:paraId="6B5C4419" w14:textId="77777777" w:rsidR="002660AA" w:rsidRDefault="009B260F">
            <w:pPr>
              <w:keepNext/>
              <w:keepLines/>
              <w:spacing w:after="0" w:line="240" w:lineRule="auto"/>
            </w:pPr>
            <w:r>
              <w:rPr>
                <w:sz w:val="18"/>
              </w:rPr>
              <w:t>Cestovni promet</w:t>
            </w:r>
          </w:p>
        </w:tc>
        <w:tc>
          <w:tcPr>
            <w:tcW w:w="700" w:type="dxa"/>
            <w:tcMar>
              <w:top w:w="0" w:type="dxa"/>
              <w:bottom w:w="0" w:type="dxa"/>
            </w:tcMar>
            <w:vAlign w:val="center"/>
          </w:tcPr>
          <w:p w14:paraId="4DAD6340" w14:textId="77777777" w:rsidR="002660AA" w:rsidRDefault="009B260F">
            <w:pPr>
              <w:keepNext/>
              <w:keepLines/>
              <w:spacing w:after="0" w:line="240" w:lineRule="auto"/>
            </w:pPr>
            <w:r>
              <w:rPr>
                <w:sz w:val="18"/>
              </w:rPr>
              <w:t>0451</w:t>
            </w:r>
          </w:p>
        </w:tc>
        <w:tc>
          <w:tcPr>
            <w:tcW w:w="1860" w:type="dxa"/>
            <w:tcMar>
              <w:top w:w="0" w:type="dxa"/>
              <w:bottom w:w="0" w:type="dxa"/>
            </w:tcMar>
            <w:vAlign w:val="center"/>
          </w:tcPr>
          <w:p w14:paraId="0FC564F2" w14:textId="77777777" w:rsidR="002660AA" w:rsidRDefault="009B260F">
            <w:pPr>
              <w:keepNext/>
              <w:keepLines/>
              <w:spacing w:after="0" w:line="240" w:lineRule="auto"/>
              <w:jc w:val="right"/>
            </w:pPr>
            <w:r>
              <w:rPr>
                <w:sz w:val="18"/>
              </w:rPr>
              <w:t>1.962.530,17</w:t>
            </w:r>
          </w:p>
        </w:tc>
        <w:tc>
          <w:tcPr>
            <w:tcW w:w="1860" w:type="dxa"/>
            <w:tcMar>
              <w:top w:w="0" w:type="dxa"/>
              <w:bottom w:w="0" w:type="dxa"/>
            </w:tcMar>
            <w:vAlign w:val="center"/>
          </w:tcPr>
          <w:p w14:paraId="22BE5176" w14:textId="77777777" w:rsidR="002660AA" w:rsidRDefault="009B260F">
            <w:pPr>
              <w:keepNext/>
              <w:keepLines/>
              <w:spacing w:after="0" w:line="240" w:lineRule="auto"/>
              <w:jc w:val="right"/>
            </w:pPr>
            <w:r>
              <w:rPr>
                <w:sz w:val="18"/>
              </w:rPr>
              <w:t>3.241.125,90</w:t>
            </w:r>
          </w:p>
        </w:tc>
        <w:tc>
          <w:tcPr>
            <w:tcW w:w="700" w:type="dxa"/>
            <w:tcMar>
              <w:top w:w="0" w:type="dxa"/>
              <w:bottom w:w="0" w:type="dxa"/>
            </w:tcMar>
            <w:vAlign w:val="center"/>
          </w:tcPr>
          <w:p w14:paraId="7A47E285" w14:textId="77777777" w:rsidR="002660AA" w:rsidRDefault="009B260F">
            <w:pPr>
              <w:keepNext/>
              <w:keepLines/>
              <w:spacing w:after="0" w:line="240" w:lineRule="auto"/>
              <w:jc w:val="right"/>
            </w:pPr>
            <w:r>
              <w:rPr>
                <w:sz w:val="18"/>
              </w:rPr>
              <w:t>165,2</w:t>
            </w:r>
          </w:p>
        </w:tc>
      </w:tr>
    </w:tbl>
    <w:p w14:paraId="0D5C3521" w14:textId="77777777" w:rsidR="002660AA" w:rsidRDefault="002660AA">
      <w:pPr>
        <w:spacing w:after="0"/>
      </w:pPr>
    </w:p>
    <w:p w14:paraId="256EFBF8" w14:textId="77777777" w:rsidR="002660AA" w:rsidRDefault="009B260F">
      <w:r>
        <w:t>Funkcija 0451 - Cestovni promet u 2025. godini ostvarena je u iznosu od 3.241.125,90 EUR, što predstavlja povećanje od 65,2 % u odnosu na 2024. godinu. Povećanje rashoda rezultat je kapitalnih ulaganja u prometnu infrastrukturu. U okviru ove funkcije evidentirani su rashodi za aktivnosti i projekte kao što su:</w:t>
      </w:r>
    </w:p>
    <w:p w14:paraId="2DC52FCA" w14:textId="77777777" w:rsidR="002660AA" w:rsidRDefault="009B260F">
      <w:r>
        <w:t>·         izgradnja i rekonstrukcija prometnica, staza, parkirališta, javne rasvjete i oborinske odvodnje,</w:t>
      </w:r>
    </w:p>
    <w:p w14:paraId="00C711EF" w14:textId="77777777" w:rsidR="002660AA" w:rsidRDefault="009B260F">
      <w:r>
        <w:t>·         izgradnja rotora u Starogradskoj ulici,</w:t>
      </w:r>
    </w:p>
    <w:p w14:paraId="70079E1E" w14:textId="77777777" w:rsidR="002660AA" w:rsidRDefault="009B260F">
      <w:r>
        <w:t>·         izgradnja staze Štaglinec – Draganovec,</w:t>
      </w:r>
    </w:p>
    <w:p w14:paraId="6F49C9C0" w14:textId="77777777" w:rsidR="002660AA" w:rsidRDefault="009B260F">
      <w:r>
        <w:t>te ostali zahvati na prometnoj infrastrukturi. </w:t>
      </w:r>
    </w:p>
    <w:p w14:paraId="7CCDC2DB" w14:textId="77777777" w:rsidR="002660AA" w:rsidRDefault="002660AA"/>
    <w:p w14:paraId="7CB9525A" w14:textId="77777777" w:rsidR="002660AA" w:rsidRDefault="009B260F">
      <w:pPr>
        <w:keepNext/>
        <w:spacing w:line="240" w:lineRule="auto"/>
        <w:jc w:val="center"/>
      </w:pPr>
      <w:r>
        <w:rPr>
          <w:sz w:val="28"/>
        </w:rPr>
        <w:t>Bilješka 137.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783DD1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C993E3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DF4464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F39EA1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BD6405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56EDDC3"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93E565C" w14:textId="77777777" w:rsidR="002660AA" w:rsidRDefault="009B260F">
            <w:pPr>
              <w:keepNext/>
              <w:keepLines/>
              <w:spacing w:after="0" w:line="240" w:lineRule="auto"/>
              <w:jc w:val="center"/>
            </w:pPr>
            <w:r>
              <w:rPr>
                <w:b/>
                <w:sz w:val="18"/>
              </w:rPr>
              <w:t>Indeks (%)</w:t>
            </w:r>
          </w:p>
        </w:tc>
      </w:tr>
      <w:tr w:rsidR="002660AA" w14:paraId="5C240705" w14:textId="77777777">
        <w:tblPrEx>
          <w:tblCellMar>
            <w:top w:w="0" w:type="dxa"/>
            <w:bottom w:w="0" w:type="dxa"/>
          </w:tblCellMar>
        </w:tblPrEx>
        <w:trPr>
          <w:cantSplit/>
          <w:trHeight w:val="560"/>
        </w:trPr>
        <w:tc>
          <w:tcPr>
            <w:tcW w:w="700" w:type="dxa"/>
            <w:tcMar>
              <w:top w:w="0" w:type="dxa"/>
              <w:bottom w:w="0" w:type="dxa"/>
            </w:tcMar>
            <w:vAlign w:val="center"/>
          </w:tcPr>
          <w:p w14:paraId="18C4A042" w14:textId="77777777" w:rsidR="002660AA" w:rsidRDefault="009B260F">
            <w:pPr>
              <w:keepNext/>
              <w:keepLines/>
              <w:spacing w:after="0" w:line="240" w:lineRule="auto"/>
            </w:pPr>
            <w:r>
              <w:rPr>
                <w:sz w:val="18"/>
              </w:rPr>
              <w:t>0473</w:t>
            </w:r>
          </w:p>
        </w:tc>
        <w:tc>
          <w:tcPr>
            <w:tcW w:w="3180" w:type="dxa"/>
            <w:tcMar>
              <w:top w:w="0" w:type="dxa"/>
              <w:bottom w:w="0" w:type="dxa"/>
            </w:tcMar>
            <w:vAlign w:val="center"/>
          </w:tcPr>
          <w:p w14:paraId="4A44B7C0" w14:textId="77777777" w:rsidR="002660AA" w:rsidRDefault="009B260F">
            <w:pPr>
              <w:keepNext/>
              <w:keepLines/>
              <w:spacing w:after="0" w:line="240" w:lineRule="auto"/>
            </w:pPr>
            <w:r>
              <w:rPr>
                <w:sz w:val="18"/>
              </w:rPr>
              <w:t>Turizam</w:t>
            </w:r>
          </w:p>
        </w:tc>
        <w:tc>
          <w:tcPr>
            <w:tcW w:w="700" w:type="dxa"/>
            <w:tcMar>
              <w:top w:w="0" w:type="dxa"/>
              <w:bottom w:w="0" w:type="dxa"/>
            </w:tcMar>
            <w:vAlign w:val="center"/>
          </w:tcPr>
          <w:p w14:paraId="494A2E4B" w14:textId="77777777" w:rsidR="002660AA" w:rsidRDefault="009B260F">
            <w:pPr>
              <w:keepNext/>
              <w:keepLines/>
              <w:spacing w:after="0" w:line="240" w:lineRule="auto"/>
            </w:pPr>
            <w:r>
              <w:rPr>
                <w:sz w:val="18"/>
              </w:rPr>
              <w:t>0473</w:t>
            </w:r>
          </w:p>
        </w:tc>
        <w:tc>
          <w:tcPr>
            <w:tcW w:w="1860" w:type="dxa"/>
            <w:tcMar>
              <w:top w:w="0" w:type="dxa"/>
              <w:bottom w:w="0" w:type="dxa"/>
            </w:tcMar>
            <w:vAlign w:val="center"/>
          </w:tcPr>
          <w:p w14:paraId="3DDEE284" w14:textId="77777777" w:rsidR="002660AA" w:rsidRDefault="009B260F">
            <w:pPr>
              <w:keepNext/>
              <w:keepLines/>
              <w:spacing w:after="0" w:line="240" w:lineRule="auto"/>
              <w:jc w:val="right"/>
            </w:pPr>
            <w:r>
              <w:rPr>
                <w:sz w:val="18"/>
              </w:rPr>
              <w:t>207.000,00</w:t>
            </w:r>
          </w:p>
        </w:tc>
        <w:tc>
          <w:tcPr>
            <w:tcW w:w="1860" w:type="dxa"/>
            <w:tcMar>
              <w:top w:w="0" w:type="dxa"/>
              <w:bottom w:w="0" w:type="dxa"/>
            </w:tcMar>
            <w:vAlign w:val="center"/>
          </w:tcPr>
          <w:p w14:paraId="2AA4B1AE" w14:textId="77777777" w:rsidR="002660AA" w:rsidRDefault="009B260F">
            <w:pPr>
              <w:keepNext/>
              <w:keepLines/>
              <w:spacing w:after="0" w:line="240" w:lineRule="auto"/>
              <w:jc w:val="right"/>
            </w:pPr>
            <w:r>
              <w:rPr>
                <w:sz w:val="18"/>
              </w:rPr>
              <w:t>345.000,00</w:t>
            </w:r>
          </w:p>
        </w:tc>
        <w:tc>
          <w:tcPr>
            <w:tcW w:w="700" w:type="dxa"/>
            <w:tcMar>
              <w:top w:w="0" w:type="dxa"/>
              <w:bottom w:w="0" w:type="dxa"/>
            </w:tcMar>
            <w:vAlign w:val="center"/>
          </w:tcPr>
          <w:p w14:paraId="0B411DE1" w14:textId="77777777" w:rsidR="002660AA" w:rsidRDefault="009B260F">
            <w:pPr>
              <w:keepNext/>
              <w:keepLines/>
              <w:spacing w:after="0" w:line="240" w:lineRule="auto"/>
              <w:jc w:val="right"/>
            </w:pPr>
            <w:r>
              <w:rPr>
                <w:sz w:val="18"/>
              </w:rPr>
              <w:t>166,7</w:t>
            </w:r>
          </w:p>
        </w:tc>
      </w:tr>
    </w:tbl>
    <w:p w14:paraId="6D2E3330" w14:textId="77777777" w:rsidR="002660AA" w:rsidRDefault="002660AA">
      <w:pPr>
        <w:spacing w:after="0"/>
      </w:pPr>
    </w:p>
    <w:p w14:paraId="206EB99E" w14:textId="77777777" w:rsidR="002660AA" w:rsidRDefault="009B260F">
      <w:r>
        <w:t>Funkcija 0473 - Turizam u 2025. godini ostvarena je u iznosu od 345.000,00 EUR, što predstavlja povećanje od 66,7 % u odnosu na 2024. godinu, kada su rashodi iznosili 207.000,00 EUR. Povećanje rashoda rezultat je većih sredstava usmjerenih na provedbu programa i aktivnosti u području turizma odnosno financiranje aktivnosti Turističke zajednice Grada.</w:t>
      </w:r>
    </w:p>
    <w:p w14:paraId="52D39B91" w14:textId="77777777" w:rsidR="002660AA" w:rsidRDefault="002660AA"/>
    <w:p w14:paraId="1B03FA38" w14:textId="77777777" w:rsidR="002660AA" w:rsidRDefault="009B260F">
      <w:pPr>
        <w:keepNext/>
        <w:spacing w:line="240" w:lineRule="auto"/>
        <w:jc w:val="center"/>
      </w:pPr>
      <w:r>
        <w:rPr>
          <w:sz w:val="28"/>
        </w:rPr>
        <w:t>Bilješka 138.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6896D2E"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2A30971"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3ADF86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41EBA9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9EA294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73E2F2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7A3EB5F" w14:textId="77777777" w:rsidR="002660AA" w:rsidRDefault="009B260F">
            <w:pPr>
              <w:keepNext/>
              <w:keepLines/>
              <w:spacing w:after="0" w:line="240" w:lineRule="auto"/>
              <w:jc w:val="center"/>
            </w:pPr>
            <w:r>
              <w:rPr>
                <w:b/>
                <w:sz w:val="18"/>
              </w:rPr>
              <w:t>Indeks (%)</w:t>
            </w:r>
          </w:p>
        </w:tc>
      </w:tr>
      <w:tr w:rsidR="002660AA" w14:paraId="68273613" w14:textId="77777777">
        <w:tblPrEx>
          <w:tblCellMar>
            <w:top w:w="0" w:type="dxa"/>
            <w:bottom w:w="0" w:type="dxa"/>
          </w:tblCellMar>
        </w:tblPrEx>
        <w:trPr>
          <w:cantSplit/>
          <w:trHeight w:val="560"/>
        </w:trPr>
        <w:tc>
          <w:tcPr>
            <w:tcW w:w="700" w:type="dxa"/>
            <w:tcMar>
              <w:top w:w="0" w:type="dxa"/>
              <w:bottom w:w="0" w:type="dxa"/>
            </w:tcMar>
            <w:vAlign w:val="center"/>
          </w:tcPr>
          <w:p w14:paraId="112E7D78" w14:textId="77777777" w:rsidR="002660AA" w:rsidRDefault="009B260F">
            <w:pPr>
              <w:keepNext/>
              <w:keepLines/>
              <w:spacing w:after="0" w:line="240" w:lineRule="auto"/>
            </w:pPr>
            <w:r>
              <w:rPr>
                <w:sz w:val="18"/>
              </w:rPr>
              <w:t>0474</w:t>
            </w:r>
          </w:p>
        </w:tc>
        <w:tc>
          <w:tcPr>
            <w:tcW w:w="3180" w:type="dxa"/>
            <w:tcMar>
              <w:top w:w="0" w:type="dxa"/>
              <w:bottom w:w="0" w:type="dxa"/>
            </w:tcMar>
            <w:vAlign w:val="center"/>
          </w:tcPr>
          <w:p w14:paraId="3F900C88" w14:textId="77777777" w:rsidR="002660AA" w:rsidRDefault="009B260F">
            <w:pPr>
              <w:keepNext/>
              <w:keepLines/>
              <w:spacing w:after="0" w:line="240" w:lineRule="auto"/>
            </w:pPr>
            <w:r>
              <w:rPr>
                <w:sz w:val="18"/>
              </w:rPr>
              <w:t>Višenamjenski razvojni projekti</w:t>
            </w:r>
          </w:p>
        </w:tc>
        <w:tc>
          <w:tcPr>
            <w:tcW w:w="700" w:type="dxa"/>
            <w:tcMar>
              <w:top w:w="0" w:type="dxa"/>
              <w:bottom w:w="0" w:type="dxa"/>
            </w:tcMar>
            <w:vAlign w:val="center"/>
          </w:tcPr>
          <w:p w14:paraId="143D9021" w14:textId="77777777" w:rsidR="002660AA" w:rsidRDefault="009B260F">
            <w:pPr>
              <w:keepNext/>
              <w:keepLines/>
              <w:spacing w:after="0" w:line="240" w:lineRule="auto"/>
            </w:pPr>
            <w:r>
              <w:rPr>
                <w:sz w:val="18"/>
              </w:rPr>
              <w:t>0474</w:t>
            </w:r>
          </w:p>
        </w:tc>
        <w:tc>
          <w:tcPr>
            <w:tcW w:w="1860" w:type="dxa"/>
            <w:tcMar>
              <w:top w:w="0" w:type="dxa"/>
              <w:bottom w:w="0" w:type="dxa"/>
            </w:tcMar>
            <w:vAlign w:val="center"/>
          </w:tcPr>
          <w:p w14:paraId="18CF09D9" w14:textId="77777777" w:rsidR="002660AA" w:rsidRDefault="009B260F">
            <w:pPr>
              <w:keepNext/>
              <w:keepLines/>
              <w:spacing w:after="0" w:line="240" w:lineRule="auto"/>
              <w:jc w:val="right"/>
            </w:pPr>
            <w:r>
              <w:rPr>
                <w:sz w:val="18"/>
              </w:rPr>
              <w:t>178.932,49</w:t>
            </w:r>
          </w:p>
        </w:tc>
        <w:tc>
          <w:tcPr>
            <w:tcW w:w="1860" w:type="dxa"/>
            <w:tcMar>
              <w:top w:w="0" w:type="dxa"/>
              <w:bottom w:w="0" w:type="dxa"/>
            </w:tcMar>
            <w:vAlign w:val="center"/>
          </w:tcPr>
          <w:p w14:paraId="59B984B9" w14:textId="77777777" w:rsidR="002660AA" w:rsidRDefault="009B260F">
            <w:pPr>
              <w:keepNext/>
              <w:keepLines/>
              <w:spacing w:after="0" w:line="240" w:lineRule="auto"/>
              <w:jc w:val="right"/>
            </w:pPr>
            <w:r>
              <w:rPr>
                <w:sz w:val="18"/>
              </w:rPr>
              <w:t>225.912,67</w:t>
            </w:r>
          </w:p>
        </w:tc>
        <w:tc>
          <w:tcPr>
            <w:tcW w:w="700" w:type="dxa"/>
            <w:tcMar>
              <w:top w:w="0" w:type="dxa"/>
              <w:bottom w:w="0" w:type="dxa"/>
            </w:tcMar>
            <w:vAlign w:val="center"/>
          </w:tcPr>
          <w:p w14:paraId="3D25A491" w14:textId="77777777" w:rsidR="002660AA" w:rsidRDefault="009B260F">
            <w:pPr>
              <w:keepNext/>
              <w:keepLines/>
              <w:spacing w:after="0" w:line="240" w:lineRule="auto"/>
              <w:jc w:val="right"/>
            </w:pPr>
            <w:r>
              <w:rPr>
                <w:sz w:val="18"/>
              </w:rPr>
              <w:t>126,3</w:t>
            </w:r>
          </w:p>
        </w:tc>
      </w:tr>
    </w:tbl>
    <w:p w14:paraId="43526A38" w14:textId="77777777" w:rsidR="002660AA" w:rsidRDefault="002660AA">
      <w:pPr>
        <w:spacing w:after="0"/>
      </w:pPr>
    </w:p>
    <w:p w14:paraId="4BC1AEB9" w14:textId="77777777" w:rsidR="002660AA" w:rsidRDefault="009B260F">
      <w:r>
        <w:t>Funkcija 0474 - Višenamjenski razvojni projekti u 2025. godini bilježi povećanje rashoda od 26,3 % u odnosu na 2024. godinu. Povećanje rashoda rezultat je većih sredstava dodijeljenih kroz programe subvencija poljoprivrednicima i poduzetnicima, kao i povećanih rashoda vezanih uz provedbu projekta CCSI4CCSI.</w:t>
      </w:r>
    </w:p>
    <w:p w14:paraId="6058DAE1" w14:textId="77777777" w:rsidR="002660AA" w:rsidRDefault="002660AA"/>
    <w:p w14:paraId="4BD1C440" w14:textId="77777777" w:rsidR="002660AA" w:rsidRDefault="009B260F">
      <w:pPr>
        <w:keepNext/>
        <w:spacing w:line="240" w:lineRule="auto"/>
        <w:jc w:val="center"/>
      </w:pPr>
      <w:r>
        <w:rPr>
          <w:sz w:val="28"/>
        </w:rPr>
        <w:t>Bilješka 139.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09FB2F2"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962B546"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AD1191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2BC7F5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46D18EC"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861EF20"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01F6CD9" w14:textId="77777777" w:rsidR="002660AA" w:rsidRDefault="009B260F">
            <w:pPr>
              <w:keepNext/>
              <w:keepLines/>
              <w:spacing w:after="0" w:line="240" w:lineRule="auto"/>
              <w:jc w:val="center"/>
            </w:pPr>
            <w:r>
              <w:rPr>
                <w:b/>
                <w:sz w:val="18"/>
              </w:rPr>
              <w:t>Indeks (%)</w:t>
            </w:r>
          </w:p>
        </w:tc>
      </w:tr>
      <w:tr w:rsidR="002660AA" w14:paraId="6999CCAC" w14:textId="77777777">
        <w:tblPrEx>
          <w:tblCellMar>
            <w:top w:w="0" w:type="dxa"/>
            <w:bottom w:w="0" w:type="dxa"/>
          </w:tblCellMar>
        </w:tblPrEx>
        <w:trPr>
          <w:cantSplit/>
          <w:trHeight w:val="560"/>
        </w:trPr>
        <w:tc>
          <w:tcPr>
            <w:tcW w:w="700" w:type="dxa"/>
            <w:tcMar>
              <w:top w:w="0" w:type="dxa"/>
              <w:bottom w:w="0" w:type="dxa"/>
            </w:tcMar>
            <w:vAlign w:val="center"/>
          </w:tcPr>
          <w:p w14:paraId="69A0E041" w14:textId="77777777" w:rsidR="002660AA" w:rsidRDefault="009B260F">
            <w:pPr>
              <w:keepNext/>
              <w:keepLines/>
              <w:spacing w:after="0" w:line="240" w:lineRule="auto"/>
            </w:pPr>
            <w:r>
              <w:rPr>
                <w:sz w:val="18"/>
              </w:rPr>
              <w:t>0483</w:t>
            </w:r>
          </w:p>
        </w:tc>
        <w:tc>
          <w:tcPr>
            <w:tcW w:w="3180" w:type="dxa"/>
            <w:tcMar>
              <w:top w:w="0" w:type="dxa"/>
              <w:bottom w:w="0" w:type="dxa"/>
            </w:tcMar>
            <w:vAlign w:val="center"/>
          </w:tcPr>
          <w:p w14:paraId="5BC7FE7F" w14:textId="77777777" w:rsidR="002660AA" w:rsidRDefault="009B260F">
            <w:pPr>
              <w:keepNext/>
              <w:keepLines/>
              <w:spacing w:after="0" w:line="240" w:lineRule="auto"/>
            </w:pPr>
            <w:r>
              <w:rPr>
                <w:sz w:val="18"/>
              </w:rPr>
              <w:t>Istraživanje i razvoj: Gorivo i energija</w:t>
            </w:r>
          </w:p>
        </w:tc>
        <w:tc>
          <w:tcPr>
            <w:tcW w:w="700" w:type="dxa"/>
            <w:tcMar>
              <w:top w:w="0" w:type="dxa"/>
              <w:bottom w:w="0" w:type="dxa"/>
            </w:tcMar>
            <w:vAlign w:val="center"/>
          </w:tcPr>
          <w:p w14:paraId="227B22A8" w14:textId="77777777" w:rsidR="002660AA" w:rsidRDefault="009B260F">
            <w:pPr>
              <w:keepNext/>
              <w:keepLines/>
              <w:spacing w:after="0" w:line="240" w:lineRule="auto"/>
            </w:pPr>
            <w:r>
              <w:rPr>
                <w:sz w:val="18"/>
              </w:rPr>
              <w:t>0483</w:t>
            </w:r>
          </w:p>
        </w:tc>
        <w:tc>
          <w:tcPr>
            <w:tcW w:w="1860" w:type="dxa"/>
            <w:tcMar>
              <w:top w:w="0" w:type="dxa"/>
              <w:bottom w:w="0" w:type="dxa"/>
            </w:tcMar>
            <w:vAlign w:val="center"/>
          </w:tcPr>
          <w:p w14:paraId="68ED5CAC"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750923EC" w14:textId="77777777" w:rsidR="002660AA" w:rsidRDefault="009B260F">
            <w:pPr>
              <w:keepNext/>
              <w:keepLines/>
              <w:spacing w:after="0" w:line="240" w:lineRule="auto"/>
              <w:jc w:val="right"/>
            </w:pPr>
            <w:r>
              <w:rPr>
                <w:sz w:val="18"/>
              </w:rPr>
              <w:t>9.910,00</w:t>
            </w:r>
          </w:p>
        </w:tc>
        <w:tc>
          <w:tcPr>
            <w:tcW w:w="700" w:type="dxa"/>
            <w:tcMar>
              <w:top w:w="0" w:type="dxa"/>
              <w:bottom w:w="0" w:type="dxa"/>
            </w:tcMar>
            <w:vAlign w:val="center"/>
          </w:tcPr>
          <w:p w14:paraId="7AB41515" w14:textId="77777777" w:rsidR="002660AA" w:rsidRDefault="009B260F">
            <w:pPr>
              <w:keepNext/>
              <w:keepLines/>
              <w:spacing w:after="0" w:line="240" w:lineRule="auto"/>
              <w:jc w:val="right"/>
            </w:pPr>
            <w:r>
              <w:rPr>
                <w:sz w:val="18"/>
              </w:rPr>
              <w:t>-</w:t>
            </w:r>
          </w:p>
        </w:tc>
      </w:tr>
    </w:tbl>
    <w:p w14:paraId="4C4DE10A" w14:textId="77777777" w:rsidR="002660AA" w:rsidRDefault="002660AA">
      <w:pPr>
        <w:spacing w:after="0"/>
      </w:pPr>
    </w:p>
    <w:p w14:paraId="62BF0E74" w14:textId="77777777" w:rsidR="002660AA" w:rsidRDefault="009B260F">
      <w:r>
        <w:t>Funkcija 0483 - Istraživanje i razvoj: Gorivo i energija u 2025. godini ostvarena je u iznosu od 9.910,00 EUR. Rashod se odnosi na naknadu za tehničku pomoć u provedbi projekta EUCF – Energy Efficient and Sustainable City of Koprivnica, koji je usmjeren na pripremu i razvoj mjera energetske učinkovitosti i održivog energetskog razvoja.</w:t>
      </w:r>
    </w:p>
    <w:p w14:paraId="569A5F77" w14:textId="77777777" w:rsidR="002660AA" w:rsidRDefault="002660AA"/>
    <w:p w14:paraId="7B4D4493" w14:textId="77777777" w:rsidR="002660AA" w:rsidRDefault="009B260F">
      <w:pPr>
        <w:keepNext/>
        <w:spacing w:line="240" w:lineRule="auto"/>
        <w:jc w:val="center"/>
      </w:pPr>
      <w:r>
        <w:rPr>
          <w:sz w:val="28"/>
        </w:rPr>
        <w:t>Bilješka 140.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93EF1C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5E4CAE4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EC6521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94787E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835A36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CCB65C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20BC987" w14:textId="77777777" w:rsidR="002660AA" w:rsidRDefault="009B260F">
            <w:pPr>
              <w:keepNext/>
              <w:keepLines/>
              <w:spacing w:after="0" w:line="240" w:lineRule="auto"/>
              <w:jc w:val="center"/>
            </w:pPr>
            <w:r>
              <w:rPr>
                <w:b/>
                <w:sz w:val="18"/>
              </w:rPr>
              <w:t>Indeks (%)</w:t>
            </w:r>
          </w:p>
        </w:tc>
      </w:tr>
      <w:tr w:rsidR="002660AA" w14:paraId="3A5A88F5" w14:textId="77777777">
        <w:tblPrEx>
          <w:tblCellMar>
            <w:top w:w="0" w:type="dxa"/>
            <w:bottom w:w="0" w:type="dxa"/>
          </w:tblCellMar>
        </w:tblPrEx>
        <w:trPr>
          <w:cantSplit/>
          <w:trHeight w:val="560"/>
        </w:trPr>
        <w:tc>
          <w:tcPr>
            <w:tcW w:w="700" w:type="dxa"/>
            <w:tcMar>
              <w:top w:w="0" w:type="dxa"/>
              <w:bottom w:w="0" w:type="dxa"/>
            </w:tcMar>
            <w:vAlign w:val="center"/>
          </w:tcPr>
          <w:p w14:paraId="2ECEE9F7" w14:textId="77777777" w:rsidR="002660AA" w:rsidRDefault="009B260F">
            <w:pPr>
              <w:keepNext/>
              <w:keepLines/>
              <w:spacing w:after="0" w:line="240" w:lineRule="auto"/>
            </w:pPr>
            <w:r>
              <w:rPr>
                <w:sz w:val="18"/>
              </w:rPr>
              <w:t>05</w:t>
            </w:r>
          </w:p>
        </w:tc>
        <w:tc>
          <w:tcPr>
            <w:tcW w:w="3180" w:type="dxa"/>
            <w:tcMar>
              <w:top w:w="0" w:type="dxa"/>
              <w:bottom w:w="0" w:type="dxa"/>
            </w:tcMar>
            <w:vAlign w:val="center"/>
          </w:tcPr>
          <w:p w14:paraId="52F26DD0" w14:textId="77777777" w:rsidR="002660AA" w:rsidRDefault="009B260F">
            <w:pPr>
              <w:keepNext/>
              <w:keepLines/>
              <w:spacing w:after="0" w:line="240" w:lineRule="auto"/>
            </w:pPr>
            <w:r>
              <w:rPr>
                <w:sz w:val="18"/>
              </w:rPr>
              <w:t>Zaštita okoliša (šifre 051 do 056)</w:t>
            </w:r>
          </w:p>
        </w:tc>
        <w:tc>
          <w:tcPr>
            <w:tcW w:w="700" w:type="dxa"/>
            <w:tcMar>
              <w:top w:w="0" w:type="dxa"/>
              <w:bottom w:w="0" w:type="dxa"/>
            </w:tcMar>
            <w:vAlign w:val="center"/>
          </w:tcPr>
          <w:p w14:paraId="396BB089" w14:textId="77777777" w:rsidR="002660AA" w:rsidRDefault="009B260F">
            <w:pPr>
              <w:keepNext/>
              <w:keepLines/>
              <w:spacing w:after="0" w:line="240" w:lineRule="auto"/>
            </w:pPr>
            <w:r>
              <w:rPr>
                <w:sz w:val="18"/>
              </w:rPr>
              <w:t>05</w:t>
            </w:r>
          </w:p>
        </w:tc>
        <w:tc>
          <w:tcPr>
            <w:tcW w:w="1860" w:type="dxa"/>
            <w:tcMar>
              <w:top w:w="0" w:type="dxa"/>
              <w:bottom w:w="0" w:type="dxa"/>
            </w:tcMar>
            <w:vAlign w:val="center"/>
          </w:tcPr>
          <w:p w14:paraId="736047CA" w14:textId="77777777" w:rsidR="002660AA" w:rsidRDefault="009B260F">
            <w:pPr>
              <w:keepNext/>
              <w:keepLines/>
              <w:spacing w:after="0" w:line="240" w:lineRule="auto"/>
              <w:jc w:val="right"/>
            </w:pPr>
            <w:r>
              <w:rPr>
                <w:sz w:val="18"/>
              </w:rPr>
              <w:t>320.043,27</w:t>
            </w:r>
          </w:p>
        </w:tc>
        <w:tc>
          <w:tcPr>
            <w:tcW w:w="1860" w:type="dxa"/>
            <w:tcMar>
              <w:top w:w="0" w:type="dxa"/>
              <w:bottom w:w="0" w:type="dxa"/>
            </w:tcMar>
            <w:vAlign w:val="center"/>
          </w:tcPr>
          <w:p w14:paraId="4FAF1049" w14:textId="77777777" w:rsidR="002660AA" w:rsidRDefault="009B260F">
            <w:pPr>
              <w:keepNext/>
              <w:keepLines/>
              <w:spacing w:after="0" w:line="240" w:lineRule="auto"/>
              <w:jc w:val="right"/>
            </w:pPr>
            <w:r>
              <w:rPr>
                <w:sz w:val="18"/>
              </w:rPr>
              <w:t>3.684.737,41</w:t>
            </w:r>
          </w:p>
        </w:tc>
        <w:tc>
          <w:tcPr>
            <w:tcW w:w="700" w:type="dxa"/>
            <w:tcMar>
              <w:top w:w="0" w:type="dxa"/>
              <w:bottom w:w="0" w:type="dxa"/>
            </w:tcMar>
            <w:vAlign w:val="center"/>
          </w:tcPr>
          <w:p w14:paraId="0A109CC3" w14:textId="77777777" w:rsidR="002660AA" w:rsidRDefault="009B260F">
            <w:pPr>
              <w:keepNext/>
              <w:keepLines/>
              <w:spacing w:after="0" w:line="240" w:lineRule="auto"/>
              <w:jc w:val="right"/>
            </w:pPr>
            <w:r>
              <w:rPr>
                <w:sz w:val="18"/>
              </w:rPr>
              <w:t>1151,3</w:t>
            </w:r>
          </w:p>
        </w:tc>
      </w:tr>
    </w:tbl>
    <w:p w14:paraId="3E44E79C" w14:textId="77777777" w:rsidR="002660AA" w:rsidRDefault="002660AA">
      <w:pPr>
        <w:spacing w:after="0"/>
      </w:pPr>
    </w:p>
    <w:p w14:paraId="747625E2" w14:textId="77777777" w:rsidR="002660AA" w:rsidRDefault="009B260F">
      <w:r>
        <w:t>Funkcija 05 - Zaštita okoliša u 2025. godini ostvarena je u iznosu od 3.684.737,41 EUR, uz indeks od 1.151,3 u odnosu na 2024. godinu, što predstavlja značajno povećanje rashoda. Povećanje rashoda najvećim dijelom odnosi se na realizaciju kapitalnog projekta Izgradnja postrojenja za sortiranje odvojeno prikupljenog otpada - Sortirnica Herešin, u ukupnom iznosu od 3.399.212,21 EUR. Rashodi su vezani uz izgradnju i opremanje postrojenja, a projekt predstavlja dio ulaganja u sustav gospodarenja otpadom i unapr</w:t>
      </w:r>
      <w:r>
        <w:t>jeđenje zaštite okoliša na području Grada.</w:t>
      </w:r>
    </w:p>
    <w:p w14:paraId="7398439D" w14:textId="77777777" w:rsidR="002660AA" w:rsidRDefault="002660AA"/>
    <w:p w14:paraId="3366C942" w14:textId="77777777" w:rsidR="002660AA" w:rsidRDefault="009B260F">
      <w:pPr>
        <w:keepNext/>
        <w:spacing w:line="240" w:lineRule="auto"/>
        <w:jc w:val="center"/>
      </w:pPr>
      <w:r>
        <w:rPr>
          <w:sz w:val="28"/>
        </w:rPr>
        <w:t>Bilješka 141.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564D919"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943C01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72E224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FE4EBE9"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C3B0A62"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00A290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0D563DD" w14:textId="77777777" w:rsidR="002660AA" w:rsidRDefault="009B260F">
            <w:pPr>
              <w:keepNext/>
              <w:keepLines/>
              <w:spacing w:after="0" w:line="240" w:lineRule="auto"/>
              <w:jc w:val="center"/>
            </w:pPr>
            <w:r>
              <w:rPr>
                <w:b/>
                <w:sz w:val="18"/>
              </w:rPr>
              <w:t>Indeks (%)</w:t>
            </w:r>
          </w:p>
        </w:tc>
      </w:tr>
      <w:tr w:rsidR="002660AA" w14:paraId="17EA075B" w14:textId="77777777">
        <w:tblPrEx>
          <w:tblCellMar>
            <w:top w:w="0" w:type="dxa"/>
            <w:bottom w:w="0" w:type="dxa"/>
          </w:tblCellMar>
        </w:tblPrEx>
        <w:trPr>
          <w:cantSplit/>
          <w:trHeight w:val="560"/>
        </w:trPr>
        <w:tc>
          <w:tcPr>
            <w:tcW w:w="700" w:type="dxa"/>
            <w:tcMar>
              <w:top w:w="0" w:type="dxa"/>
              <w:bottom w:w="0" w:type="dxa"/>
            </w:tcMar>
            <w:vAlign w:val="center"/>
          </w:tcPr>
          <w:p w14:paraId="58E95652" w14:textId="77777777" w:rsidR="002660AA" w:rsidRDefault="009B260F">
            <w:pPr>
              <w:keepNext/>
              <w:keepLines/>
              <w:spacing w:after="0" w:line="240" w:lineRule="auto"/>
            </w:pPr>
            <w:r>
              <w:rPr>
                <w:sz w:val="18"/>
              </w:rPr>
              <w:t>062</w:t>
            </w:r>
          </w:p>
        </w:tc>
        <w:tc>
          <w:tcPr>
            <w:tcW w:w="3180" w:type="dxa"/>
            <w:tcMar>
              <w:top w:w="0" w:type="dxa"/>
              <w:bottom w:w="0" w:type="dxa"/>
            </w:tcMar>
            <w:vAlign w:val="center"/>
          </w:tcPr>
          <w:p w14:paraId="0AA15CA6" w14:textId="77777777" w:rsidR="002660AA" w:rsidRDefault="009B260F">
            <w:pPr>
              <w:keepNext/>
              <w:keepLines/>
              <w:spacing w:after="0" w:line="240" w:lineRule="auto"/>
            </w:pPr>
            <w:r>
              <w:rPr>
                <w:sz w:val="18"/>
              </w:rPr>
              <w:t>Razvoj zajednice</w:t>
            </w:r>
          </w:p>
        </w:tc>
        <w:tc>
          <w:tcPr>
            <w:tcW w:w="700" w:type="dxa"/>
            <w:tcMar>
              <w:top w:w="0" w:type="dxa"/>
              <w:bottom w:w="0" w:type="dxa"/>
            </w:tcMar>
            <w:vAlign w:val="center"/>
          </w:tcPr>
          <w:p w14:paraId="6B6C07CC" w14:textId="77777777" w:rsidR="002660AA" w:rsidRDefault="009B260F">
            <w:pPr>
              <w:keepNext/>
              <w:keepLines/>
              <w:spacing w:after="0" w:line="240" w:lineRule="auto"/>
            </w:pPr>
            <w:r>
              <w:rPr>
                <w:sz w:val="18"/>
              </w:rPr>
              <w:t>062</w:t>
            </w:r>
          </w:p>
        </w:tc>
        <w:tc>
          <w:tcPr>
            <w:tcW w:w="1860" w:type="dxa"/>
            <w:tcMar>
              <w:top w:w="0" w:type="dxa"/>
              <w:bottom w:w="0" w:type="dxa"/>
            </w:tcMar>
            <w:vAlign w:val="center"/>
          </w:tcPr>
          <w:p w14:paraId="2A73FF7E" w14:textId="77777777" w:rsidR="002660AA" w:rsidRDefault="009B260F">
            <w:pPr>
              <w:keepNext/>
              <w:keepLines/>
              <w:spacing w:after="0" w:line="240" w:lineRule="auto"/>
              <w:jc w:val="right"/>
            </w:pPr>
            <w:r>
              <w:rPr>
                <w:sz w:val="18"/>
              </w:rPr>
              <w:t>1.040.631,91</w:t>
            </w:r>
          </w:p>
        </w:tc>
        <w:tc>
          <w:tcPr>
            <w:tcW w:w="1860" w:type="dxa"/>
            <w:tcMar>
              <w:top w:w="0" w:type="dxa"/>
              <w:bottom w:w="0" w:type="dxa"/>
            </w:tcMar>
            <w:vAlign w:val="center"/>
          </w:tcPr>
          <w:p w14:paraId="3F1D4B48" w14:textId="77777777" w:rsidR="002660AA" w:rsidRDefault="009B260F">
            <w:pPr>
              <w:keepNext/>
              <w:keepLines/>
              <w:spacing w:after="0" w:line="240" w:lineRule="auto"/>
              <w:jc w:val="right"/>
            </w:pPr>
            <w:r>
              <w:rPr>
                <w:sz w:val="18"/>
              </w:rPr>
              <w:t>1.365.464,04</w:t>
            </w:r>
          </w:p>
        </w:tc>
        <w:tc>
          <w:tcPr>
            <w:tcW w:w="700" w:type="dxa"/>
            <w:tcMar>
              <w:top w:w="0" w:type="dxa"/>
              <w:bottom w:w="0" w:type="dxa"/>
            </w:tcMar>
            <w:vAlign w:val="center"/>
          </w:tcPr>
          <w:p w14:paraId="61DDE012" w14:textId="77777777" w:rsidR="002660AA" w:rsidRDefault="009B260F">
            <w:pPr>
              <w:keepNext/>
              <w:keepLines/>
              <w:spacing w:after="0" w:line="240" w:lineRule="auto"/>
              <w:jc w:val="right"/>
            </w:pPr>
            <w:r>
              <w:rPr>
                <w:sz w:val="18"/>
              </w:rPr>
              <w:t>131,2</w:t>
            </w:r>
          </w:p>
        </w:tc>
      </w:tr>
    </w:tbl>
    <w:p w14:paraId="0828E85B" w14:textId="77777777" w:rsidR="002660AA" w:rsidRDefault="002660AA">
      <w:pPr>
        <w:spacing w:after="0"/>
      </w:pPr>
    </w:p>
    <w:p w14:paraId="2466AAAD" w14:textId="77777777" w:rsidR="002660AA" w:rsidRDefault="009B260F">
      <w:r>
        <w:t>Funkcija 062 - Razvoj zajednice u 2025. godini ostvarena je u iznosu od 1.365.464,04 EUR, što predstavlja povećanje od 31,2 % u odnosu na 2024. godinu. Najveći dio rashoda unutar ove funkcije odnosi se na realizaciju projekta Građenje i opremanje kompleksa tržnice i polivalentnog centra - ITU, u ukupnom iznosu od 542.185,12 EUR.</w:t>
      </w:r>
    </w:p>
    <w:p w14:paraId="11AE6A7E" w14:textId="77777777" w:rsidR="002660AA" w:rsidRDefault="002660AA"/>
    <w:p w14:paraId="6B382DBA" w14:textId="77777777" w:rsidR="002660AA" w:rsidRDefault="009B260F">
      <w:pPr>
        <w:keepNext/>
        <w:spacing w:line="240" w:lineRule="auto"/>
        <w:jc w:val="center"/>
      </w:pPr>
      <w:r>
        <w:rPr>
          <w:sz w:val="28"/>
        </w:rPr>
        <w:t>Bilješka 142.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BE2006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53F1D1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14D257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7A36C6C"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83406D"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D4B8398"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5042A93" w14:textId="77777777" w:rsidR="002660AA" w:rsidRDefault="009B260F">
            <w:pPr>
              <w:keepNext/>
              <w:keepLines/>
              <w:spacing w:after="0" w:line="240" w:lineRule="auto"/>
              <w:jc w:val="center"/>
            </w:pPr>
            <w:r>
              <w:rPr>
                <w:b/>
                <w:sz w:val="18"/>
              </w:rPr>
              <w:t>Indeks (%)</w:t>
            </w:r>
          </w:p>
        </w:tc>
      </w:tr>
      <w:tr w:rsidR="002660AA" w14:paraId="61E6FA1E" w14:textId="77777777">
        <w:tblPrEx>
          <w:tblCellMar>
            <w:top w:w="0" w:type="dxa"/>
            <w:bottom w:w="0" w:type="dxa"/>
          </w:tblCellMar>
        </w:tblPrEx>
        <w:trPr>
          <w:cantSplit/>
          <w:trHeight w:val="560"/>
        </w:trPr>
        <w:tc>
          <w:tcPr>
            <w:tcW w:w="700" w:type="dxa"/>
            <w:tcMar>
              <w:top w:w="0" w:type="dxa"/>
              <w:bottom w:w="0" w:type="dxa"/>
            </w:tcMar>
            <w:vAlign w:val="center"/>
          </w:tcPr>
          <w:p w14:paraId="08362F56" w14:textId="77777777" w:rsidR="002660AA" w:rsidRDefault="009B260F">
            <w:pPr>
              <w:keepNext/>
              <w:keepLines/>
              <w:spacing w:after="0" w:line="240" w:lineRule="auto"/>
            </w:pPr>
            <w:r>
              <w:rPr>
                <w:sz w:val="18"/>
              </w:rPr>
              <w:t>064</w:t>
            </w:r>
          </w:p>
        </w:tc>
        <w:tc>
          <w:tcPr>
            <w:tcW w:w="3180" w:type="dxa"/>
            <w:tcMar>
              <w:top w:w="0" w:type="dxa"/>
              <w:bottom w:w="0" w:type="dxa"/>
            </w:tcMar>
            <w:vAlign w:val="center"/>
          </w:tcPr>
          <w:p w14:paraId="21C2A766" w14:textId="77777777" w:rsidR="002660AA" w:rsidRDefault="009B260F">
            <w:pPr>
              <w:keepNext/>
              <w:keepLines/>
              <w:spacing w:after="0" w:line="240" w:lineRule="auto"/>
            </w:pPr>
            <w:r>
              <w:rPr>
                <w:sz w:val="18"/>
              </w:rPr>
              <w:t>Ulična rasvjeta</w:t>
            </w:r>
          </w:p>
        </w:tc>
        <w:tc>
          <w:tcPr>
            <w:tcW w:w="700" w:type="dxa"/>
            <w:tcMar>
              <w:top w:w="0" w:type="dxa"/>
              <w:bottom w:w="0" w:type="dxa"/>
            </w:tcMar>
            <w:vAlign w:val="center"/>
          </w:tcPr>
          <w:p w14:paraId="439CAD86" w14:textId="77777777" w:rsidR="002660AA" w:rsidRDefault="009B260F">
            <w:pPr>
              <w:keepNext/>
              <w:keepLines/>
              <w:spacing w:after="0" w:line="240" w:lineRule="auto"/>
            </w:pPr>
            <w:r>
              <w:rPr>
                <w:sz w:val="18"/>
              </w:rPr>
              <w:t>064</w:t>
            </w:r>
          </w:p>
        </w:tc>
        <w:tc>
          <w:tcPr>
            <w:tcW w:w="1860" w:type="dxa"/>
            <w:tcMar>
              <w:top w:w="0" w:type="dxa"/>
              <w:bottom w:w="0" w:type="dxa"/>
            </w:tcMar>
            <w:vAlign w:val="center"/>
          </w:tcPr>
          <w:p w14:paraId="6CB9D3BB" w14:textId="77777777" w:rsidR="002660AA" w:rsidRDefault="009B260F">
            <w:pPr>
              <w:keepNext/>
              <w:keepLines/>
              <w:spacing w:after="0" w:line="240" w:lineRule="auto"/>
              <w:jc w:val="right"/>
            </w:pPr>
            <w:r>
              <w:rPr>
                <w:sz w:val="18"/>
              </w:rPr>
              <w:t>2.117.287,03</w:t>
            </w:r>
          </w:p>
        </w:tc>
        <w:tc>
          <w:tcPr>
            <w:tcW w:w="1860" w:type="dxa"/>
            <w:tcMar>
              <w:top w:w="0" w:type="dxa"/>
              <w:bottom w:w="0" w:type="dxa"/>
            </w:tcMar>
            <w:vAlign w:val="center"/>
          </w:tcPr>
          <w:p w14:paraId="2FFC95E9" w14:textId="77777777" w:rsidR="002660AA" w:rsidRDefault="009B260F">
            <w:pPr>
              <w:keepNext/>
              <w:keepLines/>
              <w:spacing w:after="0" w:line="240" w:lineRule="auto"/>
              <w:jc w:val="right"/>
            </w:pPr>
            <w:r>
              <w:rPr>
                <w:sz w:val="18"/>
              </w:rPr>
              <w:t>845.391,72</w:t>
            </w:r>
          </w:p>
        </w:tc>
        <w:tc>
          <w:tcPr>
            <w:tcW w:w="700" w:type="dxa"/>
            <w:tcMar>
              <w:top w:w="0" w:type="dxa"/>
              <w:bottom w:w="0" w:type="dxa"/>
            </w:tcMar>
            <w:vAlign w:val="center"/>
          </w:tcPr>
          <w:p w14:paraId="080FD18E" w14:textId="77777777" w:rsidR="002660AA" w:rsidRDefault="009B260F">
            <w:pPr>
              <w:keepNext/>
              <w:keepLines/>
              <w:spacing w:after="0" w:line="240" w:lineRule="auto"/>
              <w:jc w:val="right"/>
            </w:pPr>
            <w:r>
              <w:rPr>
                <w:sz w:val="18"/>
              </w:rPr>
              <w:t>39,9</w:t>
            </w:r>
          </w:p>
        </w:tc>
      </w:tr>
    </w:tbl>
    <w:p w14:paraId="75164050" w14:textId="77777777" w:rsidR="002660AA" w:rsidRDefault="002660AA">
      <w:pPr>
        <w:spacing w:after="0"/>
      </w:pPr>
    </w:p>
    <w:p w14:paraId="71AE4115" w14:textId="77777777" w:rsidR="002660AA" w:rsidRDefault="009B260F">
      <w:r>
        <w:t>Funkcija 064 - Ulična rasvjeta u 2025. godini bilježi indeks od 39,9 u odnosu na 2024. godinu, što predstavlja značajno smanjenje rashoda. Smanjenje rashoda rezultat je završetka kapitalne investicije Rekonstrukcija sustava javne rasvjete, koja je realizirana u 2024. godini.</w:t>
      </w:r>
    </w:p>
    <w:p w14:paraId="4503C4EE" w14:textId="77777777" w:rsidR="002660AA" w:rsidRDefault="002660AA"/>
    <w:p w14:paraId="3CA6B381" w14:textId="77777777" w:rsidR="002660AA" w:rsidRDefault="009B260F">
      <w:pPr>
        <w:keepNext/>
        <w:spacing w:line="240" w:lineRule="auto"/>
        <w:jc w:val="center"/>
      </w:pPr>
      <w:r>
        <w:rPr>
          <w:sz w:val="28"/>
        </w:rPr>
        <w:t>Bilješka 143.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C5B1D6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2413BEB"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BA4A15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5CDF02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881E8F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AD2665B"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64AD6DD3" w14:textId="77777777" w:rsidR="002660AA" w:rsidRDefault="009B260F">
            <w:pPr>
              <w:keepNext/>
              <w:keepLines/>
              <w:spacing w:after="0" w:line="240" w:lineRule="auto"/>
              <w:jc w:val="center"/>
            </w:pPr>
            <w:r>
              <w:rPr>
                <w:b/>
                <w:sz w:val="18"/>
              </w:rPr>
              <w:t>Indeks (%)</w:t>
            </w:r>
          </w:p>
        </w:tc>
      </w:tr>
      <w:tr w:rsidR="002660AA" w14:paraId="3291FFCB" w14:textId="77777777">
        <w:tblPrEx>
          <w:tblCellMar>
            <w:top w:w="0" w:type="dxa"/>
            <w:bottom w:w="0" w:type="dxa"/>
          </w:tblCellMar>
        </w:tblPrEx>
        <w:trPr>
          <w:cantSplit/>
          <w:trHeight w:val="560"/>
        </w:trPr>
        <w:tc>
          <w:tcPr>
            <w:tcW w:w="700" w:type="dxa"/>
            <w:tcMar>
              <w:top w:w="0" w:type="dxa"/>
              <w:bottom w:w="0" w:type="dxa"/>
            </w:tcMar>
            <w:vAlign w:val="center"/>
          </w:tcPr>
          <w:p w14:paraId="7E83EBE1" w14:textId="77777777" w:rsidR="002660AA" w:rsidRDefault="009B260F">
            <w:pPr>
              <w:keepNext/>
              <w:keepLines/>
              <w:spacing w:after="0" w:line="240" w:lineRule="auto"/>
            </w:pPr>
            <w:r>
              <w:rPr>
                <w:sz w:val="18"/>
              </w:rPr>
              <w:t>066</w:t>
            </w:r>
          </w:p>
        </w:tc>
        <w:tc>
          <w:tcPr>
            <w:tcW w:w="3180" w:type="dxa"/>
            <w:tcMar>
              <w:top w:w="0" w:type="dxa"/>
              <w:bottom w:w="0" w:type="dxa"/>
            </w:tcMar>
            <w:vAlign w:val="center"/>
          </w:tcPr>
          <w:p w14:paraId="25FD137F" w14:textId="77777777" w:rsidR="002660AA" w:rsidRDefault="009B260F">
            <w:pPr>
              <w:keepNext/>
              <w:keepLines/>
              <w:spacing w:after="0" w:line="240" w:lineRule="auto"/>
            </w:pPr>
            <w:r>
              <w:rPr>
                <w:sz w:val="18"/>
              </w:rPr>
              <w:t>Rashodi vezani za stanovanje i kom. pogodnosti koji nisu drugdje svrstani</w:t>
            </w:r>
          </w:p>
        </w:tc>
        <w:tc>
          <w:tcPr>
            <w:tcW w:w="700" w:type="dxa"/>
            <w:tcMar>
              <w:top w:w="0" w:type="dxa"/>
              <w:bottom w:w="0" w:type="dxa"/>
            </w:tcMar>
            <w:vAlign w:val="center"/>
          </w:tcPr>
          <w:p w14:paraId="78E1B33E" w14:textId="77777777" w:rsidR="002660AA" w:rsidRDefault="009B260F">
            <w:pPr>
              <w:keepNext/>
              <w:keepLines/>
              <w:spacing w:after="0" w:line="240" w:lineRule="auto"/>
            </w:pPr>
            <w:r>
              <w:rPr>
                <w:sz w:val="18"/>
              </w:rPr>
              <w:t>066</w:t>
            </w:r>
          </w:p>
        </w:tc>
        <w:tc>
          <w:tcPr>
            <w:tcW w:w="1860" w:type="dxa"/>
            <w:tcMar>
              <w:top w:w="0" w:type="dxa"/>
              <w:bottom w:w="0" w:type="dxa"/>
            </w:tcMar>
            <w:vAlign w:val="center"/>
          </w:tcPr>
          <w:p w14:paraId="05A65600" w14:textId="77777777" w:rsidR="002660AA" w:rsidRDefault="009B260F">
            <w:pPr>
              <w:keepNext/>
              <w:keepLines/>
              <w:spacing w:after="0" w:line="240" w:lineRule="auto"/>
              <w:jc w:val="right"/>
            </w:pPr>
            <w:r>
              <w:rPr>
                <w:sz w:val="18"/>
              </w:rPr>
              <w:t>4.327.507,78</w:t>
            </w:r>
          </w:p>
        </w:tc>
        <w:tc>
          <w:tcPr>
            <w:tcW w:w="1860" w:type="dxa"/>
            <w:tcMar>
              <w:top w:w="0" w:type="dxa"/>
              <w:bottom w:w="0" w:type="dxa"/>
            </w:tcMar>
            <w:vAlign w:val="center"/>
          </w:tcPr>
          <w:p w14:paraId="593DF6DF" w14:textId="77777777" w:rsidR="002660AA" w:rsidRDefault="009B260F">
            <w:pPr>
              <w:keepNext/>
              <w:keepLines/>
              <w:spacing w:after="0" w:line="240" w:lineRule="auto"/>
              <w:jc w:val="right"/>
            </w:pPr>
            <w:r>
              <w:rPr>
                <w:sz w:val="18"/>
              </w:rPr>
              <w:t>6.235.442,89</w:t>
            </w:r>
          </w:p>
        </w:tc>
        <w:tc>
          <w:tcPr>
            <w:tcW w:w="700" w:type="dxa"/>
            <w:tcMar>
              <w:top w:w="0" w:type="dxa"/>
              <w:bottom w:w="0" w:type="dxa"/>
            </w:tcMar>
            <w:vAlign w:val="center"/>
          </w:tcPr>
          <w:p w14:paraId="39349DAE" w14:textId="77777777" w:rsidR="002660AA" w:rsidRDefault="009B260F">
            <w:pPr>
              <w:keepNext/>
              <w:keepLines/>
              <w:spacing w:after="0" w:line="240" w:lineRule="auto"/>
              <w:jc w:val="right"/>
            </w:pPr>
            <w:r>
              <w:rPr>
                <w:sz w:val="18"/>
              </w:rPr>
              <w:t>144,1</w:t>
            </w:r>
          </w:p>
        </w:tc>
      </w:tr>
    </w:tbl>
    <w:p w14:paraId="260ED196" w14:textId="77777777" w:rsidR="002660AA" w:rsidRDefault="002660AA">
      <w:pPr>
        <w:spacing w:after="0"/>
      </w:pPr>
    </w:p>
    <w:p w14:paraId="218B1BDF" w14:textId="77777777" w:rsidR="002660AA" w:rsidRDefault="009B260F">
      <w:r>
        <w:t>Funkcija 066 - Rashodi vezani uz stanovanje i komunalne pogodnosti koji nisu drugdje svrstani u 2025. godini bilježi povećanje rashoda od 44,1 % u odnosu na 2024. godinu. Najveći dio rashoda unutar ove funkcije odnosi se na aktivnost Godišnje održavanje nerazvrstanih cesta, gdje je evidentirano povećanje s 2.778.321,74 EUR u 2024. godini na 4.339.483,93 EUR u 2025. godini.</w:t>
      </w:r>
    </w:p>
    <w:p w14:paraId="70B8EC36" w14:textId="77777777" w:rsidR="002660AA" w:rsidRDefault="002660AA"/>
    <w:p w14:paraId="014AC849" w14:textId="77777777" w:rsidR="002660AA" w:rsidRDefault="009B260F">
      <w:pPr>
        <w:keepNext/>
        <w:spacing w:line="240" w:lineRule="auto"/>
        <w:jc w:val="center"/>
      </w:pPr>
      <w:r>
        <w:rPr>
          <w:sz w:val="28"/>
        </w:rPr>
        <w:t>Bilješka 144.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62F60E0"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CF244F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654C137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293A4D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528B8B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642CC5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BA64EF2" w14:textId="77777777" w:rsidR="002660AA" w:rsidRDefault="009B260F">
            <w:pPr>
              <w:keepNext/>
              <w:keepLines/>
              <w:spacing w:after="0" w:line="240" w:lineRule="auto"/>
              <w:jc w:val="center"/>
            </w:pPr>
            <w:r>
              <w:rPr>
                <w:b/>
                <w:sz w:val="18"/>
              </w:rPr>
              <w:t>Indeks (%)</w:t>
            </w:r>
          </w:p>
        </w:tc>
      </w:tr>
      <w:tr w:rsidR="002660AA" w14:paraId="7E6F8124" w14:textId="77777777">
        <w:tblPrEx>
          <w:tblCellMar>
            <w:top w:w="0" w:type="dxa"/>
            <w:bottom w:w="0" w:type="dxa"/>
          </w:tblCellMar>
        </w:tblPrEx>
        <w:trPr>
          <w:cantSplit/>
          <w:trHeight w:val="560"/>
        </w:trPr>
        <w:tc>
          <w:tcPr>
            <w:tcW w:w="700" w:type="dxa"/>
            <w:tcMar>
              <w:top w:w="0" w:type="dxa"/>
              <w:bottom w:w="0" w:type="dxa"/>
            </w:tcMar>
            <w:vAlign w:val="center"/>
          </w:tcPr>
          <w:p w14:paraId="02A42561" w14:textId="77777777" w:rsidR="002660AA" w:rsidRDefault="009B260F">
            <w:pPr>
              <w:keepNext/>
              <w:keepLines/>
              <w:spacing w:after="0" w:line="240" w:lineRule="auto"/>
            </w:pPr>
            <w:r>
              <w:rPr>
                <w:sz w:val="18"/>
              </w:rPr>
              <w:t>074</w:t>
            </w:r>
          </w:p>
        </w:tc>
        <w:tc>
          <w:tcPr>
            <w:tcW w:w="3180" w:type="dxa"/>
            <w:tcMar>
              <w:top w:w="0" w:type="dxa"/>
              <w:bottom w:w="0" w:type="dxa"/>
            </w:tcMar>
            <w:vAlign w:val="center"/>
          </w:tcPr>
          <w:p w14:paraId="6E3AAFF6" w14:textId="77777777" w:rsidR="002660AA" w:rsidRDefault="009B260F">
            <w:pPr>
              <w:keepNext/>
              <w:keepLines/>
              <w:spacing w:after="0" w:line="240" w:lineRule="auto"/>
            </w:pPr>
            <w:r>
              <w:rPr>
                <w:sz w:val="18"/>
              </w:rPr>
              <w:t>Službe javnog zdravstva</w:t>
            </w:r>
          </w:p>
        </w:tc>
        <w:tc>
          <w:tcPr>
            <w:tcW w:w="700" w:type="dxa"/>
            <w:tcMar>
              <w:top w:w="0" w:type="dxa"/>
              <w:bottom w:w="0" w:type="dxa"/>
            </w:tcMar>
            <w:vAlign w:val="center"/>
          </w:tcPr>
          <w:p w14:paraId="5C7D5346" w14:textId="77777777" w:rsidR="002660AA" w:rsidRDefault="009B260F">
            <w:pPr>
              <w:keepNext/>
              <w:keepLines/>
              <w:spacing w:after="0" w:line="240" w:lineRule="auto"/>
            </w:pPr>
            <w:r>
              <w:rPr>
                <w:sz w:val="18"/>
              </w:rPr>
              <w:t>074</w:t>
            </w:r>
          </w:p>
        </w:tc>
        <w:tc>
          <w:tcPr>
            <w:tcW w:w="1860" w:type="dxa"/>
            <w:tcMar>
              <w:top w:w="0" w:type="dxa"/>
              <w:bottom w:w="0" w:type="dxa"/>
            </w:tcMar>
            <w:vAlign w:val="center"/>
          </w:tcPr>
          <w:p w14:paraId="4EF08C5B" w14:textId="77777777" w:rsidR="002660AA" w:rsidRDefault="009B260F">
            <w:pPr>
              <w:keepNext/>
              <w:keepLines/>
              <w:spacing w:after="0" w:line="240" w:lineRule="auto"/>
              <w:jc w:val="right"/>
            </w:pPr>
            <w:r>
              <w:rPr>
                <w:sz w:val="18"/>
              </w:rPr>
              <w:t>8.275,00</w:t>
            </w:r>
          </w:p>
        </w:tc>
        <w:tc>
          <w:tcPr>
            <w:tcW w:w="1860" w:type="dxa"/>
            <w:tcMar>
              <w:top w:w="0" w:type="dxa"/>
              <w:bottom w:w="0" w:type="dxa"/>
            </w:tcMar>
            <w:vAlign w:val="center"/>
          </w:tcPr>
          <w:p w14:paraId="7D45566C" w14:textId="77777777" w:rsidR="002660AA" w:rsidRDefault="009B260F">
            <w:pPr>
              <w:keepNext/>
              <w:keepLines/>
              <w:spacing w:after="0" w:line="240" w:lineRule="auto"/>
              <w:jc w:val="right"/>
            </w:pPr>
            <w:r>
              <w:rPr>
                <w:sz w:val="18"/>
              </w:rPr>
              <w:t>24.317,32</w:t>
            </w:r>
          </w:p>
        </w:tc>
        <w:tc>
          <w:tcPr>
            <w:tcW w:w="700" w:type="dxa"/>
            <w:tcMar>
              <w:top w:w="0" w:type="dxa"/>
              <w:bottom w:w="0" w:type="dxa"/>
            </w:tcMar>
            <w:vAlign w:val="center"/>
          </w:tcPr>
          <w:p w14:paraId="6811657E" w14:textId="77777777" w:rsidR="002660AA" w:rsidRDefault="009B260F">
            <w:pPr>
              <w:keepNext/>
              <w:keepLines/>
              <w:spacing w:after="0" w:line="240" w:lineRule="auto"/>
              <w:jc w:val="right"/>
            </w:pPr>
            <w:r>
              <w:rPr>
                <w:sz w:val="18"/>
              </w:rPr>
              <w:t>293,9</w:t>
            </w:r>
          </w:p>
        </w:tc>
      </w:tr>
    </w:tbl>
    <w:p w14:paraId="16BA3146" w14:textId="77777777" w:rsidR="002660AA" w:rsidRDefault="002660AA">
      <w:pPr>
        <w:spacing w:after="0"/>
      </w:pPr>
    </w:p>
    <w:p w14:paraId="00011330" w14:textId="77777777" w:rsidR="002660AA" w:rsidRDefault="009B260F">
      <w:r>
        <w:t>Funkcija 074 - Službe javnog zdravstva u 2025. godini bilježi indeks od 293,3 u odnosu na 2024. godinu, uz ostvarenje rashoda u iznosu od 24.317,32 EUR. Rashodi se odnose na aktivnost Liječnici specijalisti, odnosno na isplatu naknade za pedijatricu, sukladno programu osiguravanja zdravstvene zaštite na području Grada.</w:t>
      </w:r>
    </w:p>
    <w:p w14:paraId="4449DA39" w14:textId="77777777" w:rsidR="002660AA" w:rsidRDefault="002660AA"/>
    <w:p w14:paraId="6045A8FA" w14:textId="77777777" w:rsidR="002660AA" w:rsidRDefault="009B260F">
      <w:pPr>
        <w:keepNext/>
        <w:spacing w:line="240" w:lineRule="auto"/>
        <w:jc w:val="center"/>
      </w:pPr>
      <w:r>
        <w:rPr>
          <w:sz w:val="28"/>
        </w:rPr>
        <w:t>Bilješka 145.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E29C28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B707894"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4CEA5F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6C223FE"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0EB7548"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3FF12D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B837B9A" w14:textId="77777777" w:rsidR="002660AA" w:rsidRDefault="009B260F">
            <w:pPr>
              <w:keepNext/>
              <w:keepLines/>
              <w:spacing w:after="0" w:line="240" w:lineRule="auto"/>
              <w:jc w:val="center"/>
            </w:pPr>
            <w:r>
              <w:rPr>
                <w:b/>
                <w:sz w:val="18"/>
              </w:rPr>
              <w:t>Indeks (%)</w:t>
            </w:r>
          </w:p>
        </w:tc>
      </w:tr>
      <w:tr w:rsidR="002660AA" w14:paraId="2A938533" w14:textId="77777777">
        <w:tblPrEx>
          <w:tblCellMar>
            <w:top w:w="0" w:type="dxa"/>
            <w:bottom w:w="0" w:type="dxa"/>
          </w:tblCellMar>
        </w:tblPrEx>
        <w:trPr>
          <w:cantSplit/>
          <w:trHeight w:val="560"/>
        </w:trPr>
        <w:tc>
          <w:tcPr>
            <w:tcW w:w="700" w:type="dxa"/>
            <w:tcMar>
              <w:top w:w="0" w:type="dxa"/>
              <w:bottom w:w="0" w:type="dxa"/>
            </w:tcMar>
            <w:vAlign w:val="center"/>
          </w:tcPr>
          <w:p w14:paraId="23195B97" w14:textId="77777777" w:rsidR="002660AA" w:rsidRDefault="009B260F">
            <w:pPr>
              <w:keepNext/>
              <w:keepLines/>
              <w:spacing w:after="0" w:line="240" w:lineRule="auto"/>
            </w:pPr>
            <w:r>
              <w:rPr>
                <w:sz w:val="18"/>
              </w:rPr>
              <w:t>081</w:t>
            </w:r>
          </w:p>
        </w:tc>
        <w:tc>
          <w:tcPr>
            <w:tcW w:w="3180" w:type="dxa"/>
            <w:tcMar>
              <w:top w:w="0" w:type="dxa"/>
              <w:bottom w:w="0" w:type="dxa"/>
            </w:tcMar>
            <w:vAlign w:val="center"/>
          </w:tcPr>
          <w:p w14:paraId="1EDB6488" w14:textId="77777777" w:rsidR="002660AA" w:rsidRDefault="009B260F">
            <w:pPr>
              <w:keepNext/>
              <w:keepLines/>
              <w:spacing w:after="0" w:line="240" w:lineRule="auto"/>
            </w:pPr>
            <w:r>
              <w:rPr>
                <w:sz w:val="18"/>
              </w:rPr>
              <w:t>Službe rekreacije i sporta</w:t>
            </w:r>
          </w:p>
        </w:tc>
        <w:tc>
          <w:tcPr>
            <w:tcW w:w="700" w:type="dxa"/>
            <w:tcMar>
              <w:top w:w="0" w:type="dxa"/>
              <w:bottom w:w="0" w:type="dxa"/>
            </w:tcMar>
            <w:vAlign w:val="center"/>
          </w:tcPr>
          <w:p w14:paraId="61AC837B" w14:textId="77777777" w:rsidR="002660AA" w:rsidRDefault="009B260F">
            <w:pPr>
              <w:keepNext/>
              <w:keepLines/>
              <w:spacing w:after="0" w:line="240" w:lineRule="auto"/>
            </w:pPr>
            <w:r>
              <w:rPr>
                <w:sz w:val="18"/>
              </w:rPr>
              <w:t>081</w:t>
            </w:r>
          </w:p>
        </w:tc>
        <w:tc>
          <w:tcPr>
            <w:tcW w:w="1860" w:type="dxa"/>
            <w:tcMar>
              <w:top w:w="0" w:type="dxa"/>
              <w:bottom w:w="0" w:type="dxa"/>
            </w:tcMar>
            <w:vAlign w:val="center"/>
          </w:tcPr>
          <w:p w14:paraId="323CE9DD" w14:textId="77777777" w:rsidR="002660AA" w:rsidRDefault="009B260F">
            <w:pPr>
              <w:keepNext/>
              <w:keepLines/>
              <w:spacing w:after="0" w:line="240" w:lineRule="auto"/>
              <w:jc w:val="right"/>
            </w:pPr>
            <w:r>
              <w:rPr>
                <w:sz w:val="18"/>
              </w:rPr>
              <w:t>2.323.531,71</w:t>
            </w:r>
          </w:p>
        </w:tc>
        <w:tc>
          <w:tcPr>
            <w:tcW w:w="1860" w:type="dxa"/>
            <w:tcMar>
              <w:top w:w="0" w:type="dxa"/>
              <w:bottom w:w="0" w:type="dxa"/>
            </w:tcMar>
            <w:vAlign w:val="center"/>
          </w:tcPr>
          <w:p w14:paraId="65E49781" w14:textId="77777777" w:rsidR="002660AA" w:rsidRDefault="009B260F">
            <w:pPr>
              <w:keepNext/>
              <w:keepLines/>
              <w:spacing w:after="0" w:line="240" w:lineRule="auto"/>
              <w:jc w:val="right"/>
            </w:pPr>
            <w:r>
              <w:rPr>
                <w:sz w:val="18"/>
              </w:rPr>
              <w:t>3.003.881,90</w:t>
            </w:r>
          </w:p>
        </w:tc>
        <w:tc>
          <w:tcPr>
            <w:tcW w:w="700" w:type="dxa"/>
            <w:tcMar>
              <w:top w:w="0" w:type="dxa"/>
              <w:bottom w:w="0" w:type="dxa"/>
            </w:tcMar>
            <w:vAlign w:val="center"/>
          </w:tcPr>
          <w:p w14:paraId="0D951000" w14:textId="77777777" w:rsidR="002660AA" w:rsidRDefault="009B260F">
            <w:pPr>
              <w:keepNext/>
              <w:keepLines/>
              <w:spacing w:after="0" w:line="240" w:lineRule="auto"/>
              <w:jc w:val="right"/>
            </w:pPr>
            <w:r>
              <w:rPr>
                <w:sz w:val="18"/>
              </w:rPr>
              <w:t>129,3</w:t>
            </w:r>
          </w:p>
        </w:tc>
      </w:tr>
    </w:tbl>
    <w:p w14:paraId="7869CE04" w14:textId="77777777" w:rsidR="002660AA" w:rsidRDefault="002660AA">
      <w:pPr>
        <w:spacing w:after="0"/>
      </w:pPr>
    </w:p>
    <w:p w14:paraId="0E115D27" w14:textId="77777777" w:rsidR="002660AA" w:rsidRDefault="009B260F">
      <w:r>
        <w:t>Funkcija 081 - Službe rekreacije i sporta zabilježile su rast od 29,3 %, što je prvenstveno rezultat povećanih izdvajanja za sportske aktivnosti i infrastrukturu. Povećanje rashoda odnosi se na veća sredstva doznačena Zajednici športskih udruga Grada Koprivnice, kao i na ulaganja u izgradnju dječjih igrališta i sportsko-rekreacijskih sadržaja, uključujući početak investicije izgradnje teniskih terena Cerine.</w:t>
      </w:r>
    </w:p>
    <w:p w14:paraId="4B2F51A5" w14:textId="77777777" w:rsidR="002660AA" w:rsidRDefault="002660AA"/>
    <w:p w14:paraId="715C14C9" w14:textId="77777777" w:rsidR="002660AA" w:rsidRDefault="009B260F">
      <w:pPr>
        <w:keepNext/>
        <w:spacing w:line="240" w:lineRule="auto"/>
        <w:jc w:val="center"/>
      </w:pPr>
      <w:r>
        <w:rPr>
          <w:sz w:val="28"/>
        </w:rPr>
        <w:t>Bilješka 146.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F1A6A8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49647C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44D42C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308059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45CB534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446104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EEB2C97" w14:textId="77777777" w:rsidR="002660AA" w:rsidRDefault="009B260F">
            <w:pPr>
              <w:keepNext/>
              <w:keepLines/>
              <w:spacing w:after="0" w:line="240" w:lineRule="auto"/>
              <w:jc w:val="center"/>
            </w:pPr>
            <w:r>
              <w:rPr>
                <w:b/>
                <w:sz w:val="18"/>
              </w:rPr>
              <w:t>Indeks (%)</w:t>
            </w:r>
          </w:p>
        </w:tc>
      </w:tr>
      <w:tr w:rsidR="002660AA" w14:paraId="236A0ADF" w14:textId="77777777">
        <w:tblPrEx>
          <w:tblCellMar>
            <w:top w:w="0" w:type="dxa"/>
            <w:bottom w:w="0" w:type="dxa"/>
          </w:tblCellMar>
        </w:tblPrEx>
        <w:trPr>
          <w:cantSplit/>
          <w:trHeight w:val="560"/>
        </w:trPr>
        <w:tc>
          <w:tcPr>
            <w:tcW w:w="700" w:type="dxa"/>
            <w:tcMar>
              <w:top w:w="0" w:type="dxa"/>
              <w:bottom w:w="0" w:type="dxa"/>
            </w:tcMar>
            <w:vAlign w:val="center"/>
          </w:tcPr>
          <w:p w14:paraId="0376B14A" w14:textId="77777777" w:rsidR="002660AA" w:rsidRDefault="009B260F">
            <w:pPr>
              <w:keepNext/>
              <w:keepLines/>
              <w:spacing w:after="0" w:line="240" w:lineRule="auto"/>
            </w:pPr>
            <w:r>
              <w:rPr>
                <w:sz w:val="18"/>
              </w:rPr>
              <w:t>082</w:t>
            </w:r>
          </w:p>
        </w:tc>
        <w:tc>
          <w:tcPr>
            <w:tcW w:w="3180" w:type="dxa"/>
            <w:tcMar>
              <w:top w:w="0" w:type="dxa"/>
              <w:bottom w:w="0" w:type="dxa"/>
            </w:tcMar>
            <w:vAlign w:val="center"/>
          </w:tcPr>
          <w:p w14:paraId="7B7C2657" w14:textId="77777777" w:rsidR="002660AA" w:rsidRDefault="009B260F">
            <w:pPr>
              <w:keepNext/>
              <w:keepLines/>
              <w:spacing w:after="0" w:line="240" w:lineRule="auto"/>
            </w:pPr>
            <w:r>
              <w:rPr>
                <w:sz w:val="18"/>
              </w:rPr>
              <w:t>Službe kulture</w:t>
            </w:r>
          </w:p>
        </w:tc>
        <w:tc>
          <w:tcPr>
            <w:tcW w:w="700" w:type="dxa"/>
            <w:tcMar>
              <w:top w:w="0" w:type="dxa"/>
              <w:bottom w:w="0" w:type="dxa"/>
            </w:tcMar>
            <w:vAlign w:val="center"/>
          </w:tcPr>
          <w:p w14:paraId="64D7DC3A" w14:textId="77777777" w:rsidR="002660AA" w:rsidRDefault="009B260F">
            <w:pPr>
              <w:keepNext/>
              <w:keepLines/>
              <w:spacing w:after="0" w:line="240" w:lineRule="auto"/>
            </w:pPr>
            <w:r>
              <w:rPr>
                <w:sz w:val="18"/>
              </w:rPr>
              <w:t>082</w:t>
            </w:r>
          </w:p>
        </w:tc>
        <w:tc>
          <w:tcPr>
            <w:tcW w:w="1860" w:type="dxa"/>
            <w:tcMar>
              <w:top w:w="0" w:type="dxa"/>
              <w:bottom w:w="0" w:type="dxa"/>
            </w:tcMar>
            <w:vAlign w:val="center"/>
          </w:tcPr>
          <w:p w14:paraId="48288A64" w14:textId="77777777" w:rsidR="002660AA" w:rsidRDefault="009B260F">
            <w:pPr>
              <w:keepNext/>
              <w:keepLines/>
              <w:spacing w:after="0" w:line="240" w:lineRule="auto"/>
              <w:jc w:val="right"/>
            </w:pPr>
            <w:r>
              <w:rPr>
                <w:sz w:val="18"/>
              </w:rPr>
              <w:t>208.106,07</w:t>
            </w:r>
          </w:p>
        </w:tc>
        <w:tc>
          <w:tcPr>
            <w:tcW w:w="1860" w:type="dxa"/>
            <w:tcMar>
              <w:top w:w="0" w:type="dxa"/>
              <w:bottom w:w="0" w:type="dxa"/>
            </w:tcMar>
            <w:vAlign w:val="center"/>
          </w:tcPr>
          <w:p w14:paraId="5651F8B1" w14:textId="77777777" w:rsidR="002660AA" w:rsidRDefault="009B260F">
            <w:pPr>
              <w:keepNext/>
              <w:keepLines/>
              <w:spacing w:after="0" w:line="240" w:lineRule="auto"/>
              <w:jc w:val="right"/>
            </w:pPr>
            <w:r>
              <w:rPr>
                <w:sz w:val="18"/>
              </w:rPr>
              <w:t>308.124,47</w:t>
            </w:r>
          </w:p>
        </w:tc>
        <w:tc>
          <w:tcPr>
            <w:tcW w:w="700" w:type="dxa"/>
            <w:tcMar>
              <w:top w:w="0" w:type="dxa"/>
              <w:bottom w:w="0" w:type="dxa"/>
            </w:tcMar>
            <w:vAlign w:val="center"/>
          </w:tcPr>
          <w:p w14:paraId="21BE7A64" w14:textId="77777777" w:rsidR="002660AA" w:rsidRDefault="009B260F">
            <w:pPr>
              <w:keepNext/>
              <w:keepLines/>
              <w:spacing w:after="0" w:line="240" w:lineRule="auto"/>
              <w:jc w:val="right"/>
            </w:pPr>
            <w:r>
              <w:rPr>
                <w:sz w:val="18"/>
              </w:rPr>
              <w:t>148,1</w:t>
            </w:r>
          </w:p>
        </w:tc>
      </w:tr>
    </w:tbl>
    <w:p w14:paraId="362FDDDC" w14:textId="77777777" w:rsidR="002660AA" w:rsidRDefault="002660AA">
      <w:pPr>
        <w:spacing w:after="0"/>
      </w:pPr>
    </w:p>
    <w:p w14:paraId="655F1A62" w14:textId="77777777" w:rsidR="002660AA" w:rsidRDefault="009B260F">
      <w:r>
        <w:t>Funkcija 082 - Službe kulture u 2025. godini bilježi povećanje rashoda od 48,1 % u odnosu na 2024. godinu. Povećanje rashoda rezultat je početka investicije u okviru projekta Pilot projekt zelena infrastruktura - Muzejski trg.</w:t>
      </w:r>
    </w:p>
    <w:p w14:paraId="0C841D29" w14:textId="77777777" w:rsidR="002660AA" w:rsidRDefault="002660AA"/>
    <w:p w14:paraId="435F7587" w14:textId="77777777" w:rsidR="002660AA" w:rsidRDefault="009B260F">
      <w:pPr>
        <w:keepNext/>
        <w:spacing w:line="240" w:lineRule="auto"/>
        <w:jc w:val="center"/>
      </w:pPr>
      <w:r>
        <w:rPr>
          <w:sz w:val="28"/>
        </w:rPr>
        <w:t>Bilješka 147.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5C82F8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02C8865"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779680E"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799A10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BC2548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9312BC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5E69A412" w14:textId="77777777" w:rsidR="002660AA" w:rsidRDefault="009B260F">
            <w:pPr>
              <w:keepNext/>
              <w:keepLines/>
              <w:spacing w:after="0" w:line="240" w:lineRule="auto"/>
              <w:jc w:val="center"/>
            </w:pPr>
            <w:r>
              <w:rPr>
                <w:b/>
                <w:sz w:val="18"/>
              </w:rPr>
              <w:t>Indeks (%)</w:t>
            </w:r>
          </w:p>
        </w:tc>
      </w:tr>
      <w:tr w:rsidR="002660AA" w14:paraId="47808097" w14:textId="77777777">
        <w:tblPrEx>
          <w:tblCellMar>
            <w:top w:w="0" w:type="dxa"/>
            <w:bottom w:w="0" w:type="dxa"/>
          </w:tblCellMar>
        </w:tblPrEx>
        <w:trPr>
          <w:cantSplit/>
          <w:trHeight w:val="560"/>
        </w:trPr>
        <w:tc>
          <w:tcPr>
            <w:tcW w:w="700" w:type="dxa"/>
            <w:tcMar>
              <w:top w:w="0" w:type="dxa"/>
              <w:bottom w:w="0" w:type="dxa"/>
            </w:tcMar>
            <w:vAlign w:val="center"/>
          </w:tcPr>
          <w:p w14:paraId="3BD3A0C9" w14:textId="77777777" w:rsidR="002660AA" w:rsidRDefault="009B260F">
            <w:pPr>
              <w:keepNext/>
              <w:keepLines/>
              <w:spacing w:after="0" w:line="240" w:lineRule="auto"/>
            </w:pPr>
            <w:r>
              <w:rPr>
                <w:sz w:val="18"/>
              </w:rPr>
              <w:t>086</w:t>
            </w:r>
          </w:p>
        </w:tc>
        <w:tc>
          <w:tcPr>
            <w:tcW w:w="3180" w:type="dxa"/>
            <w:tcMar>
              <w:top w:w="0" w:type="dxa"/>
              <w:bottom w:w="0" w:type="dxa"/>
            </w:tcMar>
            <w:vAlign w:val="center"/>
          </w:tcPr>
          <w:p w14:paraId="40CC23F3" w14:textId="77777777" w:rsidR="002660AA" w:rsidRDefault="009B260F">
            <w:pPr>
              <w:keepNext/>
              <w:keepLines/>
              <w:spacing w:after="0" w:line="240" w:lineRule="auto"/>
            </w:pPr>
            <w:r>
              <w:rPr>
                <w:sz w:val="18"/>
              </w:rPr>
              <w:t>Rashodi za rekreaciju, kulturu i religiju koji nisu drugdje svrstani</w:t>
            </w:r>
          </w:p>
        </w:tc>
        <w:tc>
          <w:tcPr>
            <w:tcW w:w="700" w:type="dxa"/>
            <w:tcMar>
              <w:top w:w="0" w:type="dxa"/>
              <w:bottom w:w="0" w:type="dxa"/>
            </w:tcMar>
            <w:vAlign w:val="center"/>
          </w:tcPr>
          <w:p w14:paraId="728BEE73" w14:textId="77777777" w:rsidR="002660AA" w:rsidRDefault="009B260F">
            <w:pPr>
              <w:keepNext/>
              <w:keepLines/>
              <w:spacing w:after="0" w:line="240" w:lineRule="auto"/>
            </w:pPr>
            <w:r>
              <w:rPr>
                <w:sz w:val="18"/>
              </w:rPr>
              <w:t>086</w:t>
            </w:r>
          </w:p>
        </w:tc>
        <w:tc>
          <w:tcPr>
            <w:tcW w:w="1860" w:type="dxa"/>
            <w:tcMar>
              <w:top w:w="0" w:type="dxa"/>
              <w:bottom w:w="0" w:type="dxa"/>
            </w:tcMar>
            <w:vAlign w:val="center"/>
          </w:tcPr>
          <w:p w14:paraId="7D47B56C" w14:textId="77777777" w:rsidR="002660AA" w:rsidRDefault="009B260F">
            <w:pPr>
              <w:keepNext/>
              <w:keepLines/>
              <w:spacing w:after="0" w:line="240" w:lineRule="auto"/>
              <w:jc w:val="right"/>
            </w:pPr>
            <w:r>
              <w:rPr>
                <w:sz w:val="18"/>
              </w:rPr>
              <w:t>1.366.224,49</w:t>
            </w:r>
          </w:p>
        </w:tc>
        <w:tc>
          <w:tcPr>
            <w:tcW w:w="1860" w:type="dxa"/>
            <w:tcMar>
              <w:top w:w="0" w:type="dxa"/>
              <w:bottom w:w="0" w:type="dxa"/>
            </w:tcMar>
            <w:vAlign w:val="center"/>
          </w:tcPr>
          <w:p w14:paraId="4307F5FB" w14:textId="77777777" w:rsidR="002660AA" w:rsidRDefault="009B260F">
            <w:pPr>
              <w:keepNext/>
              <w:keepLines/>
              <w:spacing w:after="0" w:line="240" w:lineRule="auto"/>
              <w:jc w:val="right"/>
            </w:pPr>
            <w:r>
              <w:rPr>
                <w:sz w:val="18"/>
              </w:rPr>
              <w:t>1.571.270,44</w:t>
            </w:r>
          </w:p>
        </w:tc>
        <w:tc>
          <w:tcPr>
            <w:tcW w:w="700" w:type="dxa"/>
            <w:tcMar>
              <w:top w:w="0" w:type="dxa"/>
              <w:bottom w:w="0" w:type="dxa"/>
            </w:tcMar>
            <w:vAlign w:val="center"/>
          </w:tcPr>
          <w:p w14:paraId="237480DE" w14:textId="77777777" w:rsidR="002660AA" w:rsidRDefault="009B260F">
            <w:pPr>
              <w:keepNext/>
              <w:keepLines/>
              <w:spacing w:after="0" w:line="240" w:lineRule="auto"/>
              <w:jc w:val="right"/>
            </w:pPr>
            <w:r>
              <w:rPr>
                <w:sz w:val="18"/>
              </w:rPr>
              <w:t>115,0</w:t>
            </w:r>
          </w:p>
        </w:tc>
      </w:tr>
    </w:tbl>
    <w:p w14:paraId="27D206AF" w14:textId="77777777" w:rsidR="002660AA" w:rsidRDefault="002660AA">
      <w:pPr>
        <w:spacing w:after="0"/>
      </w:pPr>
    </w:p>
    <w:p w14:paraId="3F573BA5" w14:textId="77777777" w:rsidR="002660AA" w:rsidRDefault="009B260F">
      <w:r>
        <w:t>Funkcija 086 - Rashodi za rekreaciju, kulturu i religiju koji nisu drugdje svrstaniu 2025. godini ostvarena je u iznosu od 1.571.270,44 EUR. Rashodi se najvećim dijelom odnose na nastavak investicije „Sanacija Sinagoge.</w:t>
      </w:r>
    </w:p>
    <w:p w14:paraId="1097FB24" w14:textId="77777777" w:rsidR="002660AA" w:rsidRDefault="002660AA"/>
    <w:p w14:paraId="318A5185" w14:textId="77777777" w:rsidR="002660AA" w:rsidRDefault="009B260F">
      <w:pPr>
        <w:keepNext/>
        <w:spacing w:line="240" w:lineRule="auto"/>
        <w:jc w:val="center"/>
      </w:pPr>
      <w:r>
        <w:rPr>
          <w:sz w:val="28"/>
        </w:rPr>
        <w:t>Bilješka 148.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A81B4D4"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266330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5C194D3"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E773C58"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F52BFB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14913E06"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30539A8" w14:textId="77777777" w:rsidR="002660AA" w:rsidRDefault="009B260F">
            <w:pPr>
              <w:keepNext/>
              <w:keepLines/>
              <w:spacing w:after="0" w:line="240" w:lineRule="auto"/>
              <w:jc w:val="center"/>
            </w:pPr>
            <w:r>
              <w:rPr>
                <w:b/>
                <w:sz w:val="18"/>
              </w:rPr>
              <w:t>Indeks (%)</w:t>
            </w:r>
          </w:p>
        </w:tc>
      </w:tr>
      <w:tr w:rsidR="002660AA" w14:paraId="303A1080" w14:textId="77777777">
        <w:tblPrEx>
          <w:tblCellMar>
            <w:top w:w="0" w:type="dxa"/>
            <w:bottom w:w="0" w:type="dxa"/>
          </w:tblCellMar>
        </w:tblPrEx>
        <w:trPr>
          <w:cantSplit/>
          <w:trHeight w:val="560"/>
        </w:trPr>
        <w:tc>
          <w:tcPr>
            <w:tcW w:w="700" w:type="dxa"/>
            <w:tcMar>
              <w:top w:w="0" w:type="dxa"/>
              <w:bottom w:w="0" w:type="dxa"/>
            </w:tcMar>
            <w:vAlign w:val="center"/>
          </w:tcPr>
          <w:p w14:paraId="7D02F7D6" w14:textId="77777777" w:rsidR="002660AA" w:rsidRDefault="009B260F">
            <w:pPr>
              <w:keepNext/>
              <w:keepLines/>
              <w:spacing w:after="0" w:line="240" w:lineRule="auto"/>
            </w:pPr>
            <w:r>
              <w:rPr>
                <w:sz w:val="18"/>
              </w:rPr>
              <w:t>0911</w:t>
            </w:r>
          </w:p>
        </w:tc>
        <w:tc>
          <w:tcPr>
            <w:tcW w:w="3180" w:type="dxa"/>
            <w:tcMar>
              <w:top w:w="0" w:type="dxa"/>
              <w:bottom w:w="0" w:type="dxa"/>
            </w:tcMar>
            <w:vAlign w:val="center"/>
          </w:tcPr>
          <w:p w14:paraId="75EAD03D" w14:textId="77777777" w:rsidR="002660AA" w:rsidRDefault="009B260F">
            <w:pPr>
              <w:keepNext/>
              <w:keepLines/>
              <w:spacing w:after="0" w:line="240" w:lineRule="auto"/>
            </w:pPr>
            <w:r>
              <w:rPr>
                <w:sz w:val="18"/>
              </w:rPr>
              <w:t>Predškolsko obrazovanje</w:t>
            </w:r>
          </w:p>
        </w:tc>
        <w:tc>
          <w:tcPr>
            <w:tcW w:w="700" w:type="dxa"/>
            <w:tcMar>
              <w:top w:w="0" w:type="dxa"/>
              <w:bottom w:w="0" w:type="dxa"/>
            </w:tcMar>
            <w:vAlign w:val="center"/>
          </w:tcPr>
          <w:p w14:paraId="4C43ABF8" w14:textId="77777777" w:rsidR="002660AA" w:rsidRDefault="009B260F">
            <w:pPr>
              <w:keepNext/>
              <w:keepLines/>
              <w:spacing w:after="0" w:line="240" w:lineRule="auto"/>
            </w:pPr>
            <w:r>
              <w:rPr>
                <w:sz w:val="18"/>
              </w:rPr>
              <w:t>0911</w:t>
            </w:r>
          </w:p>
        </w:tc>
        <w:tc>
          <w:tcPr>
            <w:tcW w:w="1860" w:type="dxa"/>
            <w:tcMar>
              <w:top w:w="0" w:type="dxa"/>
              <w:bottom w:w="0" w:type="dxa"/>
            </w:tcMar>
            <w:vAlign w:val="center"/>
          </w:tcPr>
          <w:p w14:paraId="5B293404" w14:textId="77777777" w:rsidR="002660AA" w:rsidRDefault="009B260F">
            <w:pPr>
              <w:keepNext/>
              <w:keepLines/>
              <w:spacing w:after="0" w:line="240" w:lineRule="auto"/>
              <w:jc w:val="right"/>
            </w:pPr>
            <w:r>
              <w:rPr>
                <w:sz w:val="18"/>
              </w:rPr>
              <w:t>3.574.715,13</w:t>
            </w:r>
          </w:p>
        </w:tc>
        <w:tc>
          <w:tcPr>
            <w:tcW w:w="1860" w:type="dxa"/>
            <w:tcMar>
              <w:top w:w="0" w:type="dxa"/>
              <w:bottom w:w="0" w:type="dxa"/>
            </w:tcMar>
            <w:vAlign w:val="center"/>
          </w:tcPr>
          <w:p w14:paraId="56BD5F02" w14:textId="77777777" w:rsidR="002660AA" w:rsidRDefault="009B260F">
            <w:pPr>
              <w:keepNext/>
              <w:keepLines/>
              <w:spacing w:after="0" w:line="240" w:lineRule="auto"/>
              <w:jc w:val="right"/>
            </w:pPr>
            <w:r>
              <w:rPr>
                <w:sz w:val="18"/>
              </w:rPr>
              <w:t>6.382.983,31</w:t>
            </w:r>
          </w:p>
        </w:tc>
        <w:tc>
          <w:tcPr>
            <w:tcW w:w="700" w:type="dxa"/>
            <w:tcMar>
              <w:top w:w="0" w:type="dxa"/>
              <w:bottom w:w="0" w:type="dxa"/>
            </w:tcMar>
            <w:vAlign w:val="center"/>
          </w:tcPr>
          <w:p w14:paraId="39F2BC99" w14:textId="77777777" w:rsidR="002660AA" w:rsidRDefault="009B260F">
            <w:pPr>
              <w:keepNext/>
              <w:keepLines/>
              <w:spacing w:after="0" w:line="240" w:lineRule="auto"/>
              <w:jc w:val="right"/>
            </w:pPr>
            <w:r>
              <w:rPr>
                <w:sz w:val="18"/>
              </w:rPr>
              <w:t>178,6</w:t>
            </w:r>
          </w:p>
        </w:tc>
      </w:tr>
    </w:tbl>
    <w:p w14:paraId="3E97CCF3" w14:textId="77777777" w:rsidR="002660AA" w:rsidRDefault="002660AA">
      <w:pPr>
        <w:spacing w:after="0"/>
      </w:pPr>
    </w:p>
    <w:p w14:paraId="609E66EF" w14:textId="77777777" w:rsidR="002660AA" w:rsidRDefault="009B260F">
      <w:r>
        <w:t>Funkcija 0911 - Predškolsko obrazovanje u 2025. godini ostvarena je u iznosu od 6.382.983,31 EUR, dok su u 2024. godini rashodi iznosili 3.574.715,13 EUR, što predstavlja indeks od 178,6, odnosno povećanje od 78,6 %. Povećanje rashoda najvećim dijelom odnosi se na završetak investicije u okviru projekta „Projektiranje i izgradnja dječjeg vrtića Bajer“. </w:t>
      </w:r>
    </w:p>
    <w:p w14:paraId="37DFC4CD" w14:textId="77777777" w:rsidR="002660AA" w:rsidRDefault="002660AA"/>
    <w:p w14:paraId="1E8DCE7B" w14:textId="77777777" w:rsidR="002660AA" w:rsidRDefault="009B260F">
      <w:pPr>
        <w:keepNext/>
        <w:spacing w:line="240" w:lineRule="auto"/>
        <w:jc w:val="center"/>
      </w:pPr>
      <w:r>
        <w:rPr>
          <w:sz w:val="28"/>
        </w:rPr>
        <w:t>Bilješka 149.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CBD12C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1370EA3"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83967C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4D4EC14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159194E"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322CA9BE"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678A0C8" w14:textId="77777777" w:rsidR="002660AA" w:rsidRDefault="009B260F">
            <w:pPr>
              <w:keepNext/>
              <w:keepLines/>
              <w:spacing w:after="0" w:line="240" w:lineRule="auto"/>
              <w:jc w:val="center"/>
            </w:pPr>
            <w:r>
              <w:rPr>
                <w:b/>
                <w:sz w:val="18"/>
              </w:rPr>
              <w:t>Indeks (%)</w:t>
            </w:r>
          </w:p>
        </w:tc>
      </w:tr>
      <w:tr w:rsidR="002660AA" w14:paraId="2052E524" w14:textId="77777777">
        <w:tblPrEx>
          <w:tblCellMar>
            <w:top w:w="0" w:type="dxa"/>
            <w:bottom w:w="0" w:type="dxa"/>
          </w:tblCellMar>
        </w:tblPrEx>
        <w:trPr>
          <w:cantSplit/>
          <w:trHeight w:val="560"/>
        </w:trPr>
        <w:tc>
          <w:tcPr>
            <w:tcW w:w="700" w:type="dxa"/>
            <w:tcMar>
              <w:top w:w="0" w:type="dxa"/>
              <w:bottom w:w="0" w:type="dxa"/>
            </w:tcMar>
            <w:vAlign w:val="center"/>
          </w:tcPr>
          <w:p w14:paraId="4C86AC38" w14:textId="77777777" w:rsidR="002660AA" w:rsidRDefault="009B260F">
            <w:pPr>
              <w:keepNext/>
              <w:keepLines/>
              <w:spacing w:after="0" w:line="240" w:lineRule="auto"/>
            </w:pPr>
            <w:r>
              <w:rPr>
                <w:sz w:val="18"/>
              </w:rPr>
              <w:t>0912</w:t>
            </w:r>
          </w:p>
        </w:tc>
        <w:tc>
          <w:tcPr>
            <w:tcW w:w="3180" w:type="dxa"/>
            <w:tcMar>
              <w:top w:w="0" w:type="dxa"/>
              <w:bottom w:w="0" w:type="dxa"/>
            </w:tcMar>
            <w:vAlign w:val="center"/>
          </w:tcPr>
          <w:p w14:paraId="6589BC34" w14:textId="77777777" w:rsidR="002660AA" w:rsidRDefault="009B260F">
            <w:pPr>
              <w:keepNext/>
              <w:keepLines/>
              <w:spacing w:after="0" w:line="240" w:lineRule="auto"/>
            </w:pPr>
            <w:r>
              <w:rPr>
                <w:sz w:val="18"/>
              </w:rPr>
              <w:t>Osnovno obrazovanje</w:t>
            </w:r>
          </w:p>
        </w:tc>
        <w:tc>
          <w:tcPr>
            <w:tcW w:w="700" w:type="dxa"/>
            <w:tcMar>
              <w:top w:w="0" w:type="dxa"/>
              <w:bottom w:w="0" w:type="dxa"/>
            </w:tcMar>
            <w:vAlign w:val="center"/>
          </w:tcPr>
          <w:p w14:paraId="70060B40" w14:textId="77777777" w:rsidR="002660AA" w:rsidRDefault="009B260F">
            <w:pPr>
              <w:keepNext/>
              <w:keepLines/>
              <w:spacing w:after="0" w:line="240" w:lineRule="auto"/>
            </w:pPr>
            <w:r>
              <w:rPr>
                <w:sz w:val="18"/>
              </w:rPr>
              <w:t>0912</w:t>
            </w:r>
          </w:p>
        </w:tc>
        <w:tc>
          <w:tcPr>
            <w:tcW w:w="1860" w:type="dxa"/>
            <w:tcMar>
              <w:top w:w="0" w:type="dxa"/>
              <w:bottom w:w="0" w:type="dxa"/>
            </w:tcMar>
            <w:vAlign w:val="center"/>
          </w:tcPr>
          <w:p w14:paraId="32EA99D3" w14:textId="77777777" w:rsidR="002660AA" w:rsidRDefault="009B260F">
            <w:pPr>
              <w:keepNext/>
              <w:keepLines/>
              <w:spacing w:after="0" w:line="240" w:lineRule="auto"/>
              <w:jc w:val="right"/>
            </w:pPr>
            <w:r>
              <w:rPr>
                <w:sz w:val="18"/>
              </w:rPr>
              <w:t>1.222.927,24</w:t>
            </w:r>
          </w:p>
        </w:tc>
        <w:tc>
          <w:tcPr>
            <w:tcW w:w="1860" w:type="dxa"/>
            <w:tcMar>
              <w:top w:w="0" w:type="dxa"/>
              <w:bottom w:w="0" w:type="dxa"/>
            </w:tcMar>
            <w:vAlign w:val="center"/>
          </w:tcPr>
          <w:p w14:paraId="6D1C0BFE" w14:textId="77777777" w:rsidR="002660AA" w:rsidRDefault="009B260F">
            <w:pPr>
              <w:keepNext/>
              <w:keepLines/>
              <w:spacing w:after="0" w:line="240" w:lineRule="auto"/>
              <w:jc w:val="right"/>
            </w:pPr>
            <w:r>
              <w:rPr>
                <w:sz w:val="18"/>
              </w:rPr>
              <w:t>5.793.366,50</w:t>
            </w:r>
          </w:p>
        </w:tc>
        <w:tc>
          <w:tcPr>
            <w:tcW w:w="700" w:type="dxa"/>
            <w:tcMar>
              <w:top w:w="0" w:type="dxa"/>
              <w:bottom w:w="0" w:type="dxa"/>
            </w:tcMar>
            <w:vAlign w:val="center"/>
          </w:tcPr>
          <w:p w14:paraId="6804EF08" w14:textId="77777777" w:rsidR="002660AA" w:rsidRDefault="009B260F">
            <w:pPr>
              <w:keepNext/>
              <w:keepLines/>
              <w:spacing w:after="0" w:line="240" w:lineRule="auto"/>
              <w:jc w:val="right"/>
            </w:pPr>
            <w:r>
              <w:rPr>
                <w:sz w:val="18"/>
              </w:rPr>
              <w:t>473,7</w:t>
            </w:r>
          </w:p>
        </w:tc>
      </w:tr>
    </w:tbl>
    <w:p w14:paraId="272D6AC0" w14:textId="77777777" w:rsidR="002660AA" w:rsidRDefault="002660AA">
      <w:pPr>
        <w:spacing w:after="0"/>
      </w:pPr>
    </w:p>
    <w:p w14:paraId="146504F8" w14:textId="77777777" w:rsidR="002660AA" w:rsidRDefault="009B260F">
      <w:r>
        <w:t>Funkcija 0912 - Osnovno obrazovanje u 2025. godini ostvarena je u iznosu od 5.793.366,50 EUR, što predstavlja povećanje od 373,7 % u odnosu na 2024. godinu. Značajno povećanje rashoda rezultat je početka investicijskih projekata Energetska obnova Osnovne škole „Đuro Ester“ te dogradnja Osnovne škole „Braća Radić“, koji su započeli u 2025. godini. </w:t>
      </w:r>
    </w:p>
    <w:p w14:paraId="027C60EF" w14:textId="77777777" w:rsidR="002660AA" w:rsidRDefault="002660AA"/>
    <w:p w14:paraId="789F6532" w14:textId="77777777" w:rsidR="002660AA" w:rsidRDefault="009B260F">
      <w:pPr>
        <w:keepNext/>
        <w:spacing w:line="240" w:lineRule="auto"/>
        <w:jc w:val="center"/>
      </w:pPr>
      <w:r>
        <w:rPr>
          <w:sz w:val="28"/>
        </w:rPr>
        <w:t>Bilješka 150.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A3BC4F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5FA2E19"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9C7341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A2673B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031AB5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2C85FD9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2B5F8345" w14:textId="77777777" w:rsidR="002660AA" w:rsidRDefault="009B260F">
            <w:pPr>
              <w:keepNext/>
              <w:keepLines/>
              <w:spacing w:after="0" w:line="240" w:lineRule="auto"/>
              <w:jc w:val="center"/>
            </w:pPr>
            <w:r>
              <w:rPr>
                <w:b/>
                <w:sz w:val="18"/>
              </w:rPr>
              <w:t>Indeks (%)</w:t>
            </w:r>
          </w:p>
        </w:tc>
      </w:tr>
      <w:tr w:rsidR="002660AA" w14:paraId="5024D396" w14:textId="77777777">
        <w:tblPrEx>
          <w:tblCellMar>
            <w:top w:w="0" w:type="dxa"/>
            <w:bottom w:w="0" w:type="dxa"/>
          </w:tblCellMar>
        </w:tblPrEx>
        <w:trPr>
          <w:cantSplit/>
          <w:trHeight w:val="560"/>
        </w:trPr>
        <w:tc>
          <w:tcPr>
            <w:tcW w:w="700" w:type="dxa"/>
            <w:tcMar>
              <w:top w:w="0" w:type="dxa"/>
              <w:bottom w:w="0" w:type="dxa"/>
            </w:tcMar>
            <w:vAlign w:val="center"/>
          </w:tcPr>
          <w:p w14:paraId="3200C5FF" w14:textId="77777777" w:rsidR="002660AA" w:rsidRDefault="009B260F">
            <w:pPr>
              <w:keepNext/>
              <w:keepLines/>
              <w:spacing w:after="0" w:line="240" w:lineRule="auto"/>
            </w:pPr>
            <w:r>
              <w:rPr>
                <w:sz w:val="18"/>
              </w:rPr>
              <w:t>094</w:t>
            </w:r>
          </w:p>
        </w:tc>
        <w:tc>
          <w:tcPr>
            <w:tcW w:w="3180" w:type="dxa"/>
            <w:tcMar>
              <w:top w:w="0" w:type="dxa"/>
              <w:bottom w:w="0" w:type="dxa"/>
            </w:tcMar>
            <w:vAlign w:val="center"/>
          </w:tcPr>
          <w:p w14:paraId="62B8A84B" w14:textId="77777777" w:rsidR="002660AA" w:rsidRDefault="009B260F">
            <w:pPr>
              <w:keepNext/>
              <w:keepLines/>
              <w:spacing w:after="0" w:line="240" w:lineRule="auto"/>
            </w:pPr>
            <w:r>
              <w:rPr>
                <w:sz w:val="18"/>
              </w:rPr>
              <w:t>Visoka naobrazba (šifre 0941+0942)</w:t>
            </w:r>
          </w:p>
        </w:tc>
        <w:tc>
          <w:tcPr>
            <w:tcW w:w="700" w:type="dxa"/>
            <w:tcMar>
              <w:top w:w="0" w:type="dxa"/>
              <w:bottom w:w="0" w:type="dxa"/>
            </w:tcMar>
            <w:vAlign w:val="center"/>
          </w:tcPr>
          <w:p w14:paraId="611D2B39" w14:textId="77777777" w:rsidR="002660AA" w:rsidRDefault="009B260F">
            <w:pPr>
              <w:keepNext/>
              <w:keepLines/>
              <w:spacing w:after="0" w:line="240" w:lineRule="auto"/>
            </w:pPr>
            <w:r>
              <w:rPr>
                <w:sz w:val="18"/>
              </w:rPr>
              <w:t>094</w:t>
            </w:r>
          </w:p>
        </w:tc>
        <w:tc>
          <w:tcPr>
            <w:tcW w:w="1860" w:type="dxa"/>
            <w:tcMar>
              <w:top w:w="0" w:type="dxa"/>
              <w:bottom w:w="0" w:type="dxa"/>
            </w:tcMar>
            <w:vAlign w:val="center"/>
          </w:tcPr>
          <w:p w14:paraId="37100BB7" w14:textId="77777777" w:rsidR="002660AA" w:rsidRDefault="009B260F">
            <w:pPr>
              <w:keepNext/>
              <w:keepLines/>
              <w:spacing w:after="0" w:line="240" w:lineRule="auto"/>
              <w:jc w:val="right"/>
            </w:pPr>
            <w:r>
              <w:rPr>
                <w:sz w:val="18"/>
              </w:rPr>
              <w:t>299.072,25</w:t>
            </w:r>
          </w:p>
        </w:tc>
        <w:tc>
          <w:tcPr>
            <w:tcW w:w="1860" w:type="dxa"/>
            <w:tcMar>
              <w:top w:w="0" w:type="dxa"/>
              <w:bottom w:w="0" w:type="dxa"/>
            </w:tcMar>
            <w:vAlign w:val="center"/>
          </w:tcPr>
          <w:p w14:paraId="7D9E356E" w14:textId="77777777" w:rsidR="002660AA" w:rsidRDefault="009B260F">
            <w:pPr>
              <w:keepNext/>
              <w:keepLines/>
              <w:spacing w:after="0" w:line="240" w:lineRule="auto"/>
              <w:jc w:val="right"/>
            </w:pPr>
            <w:r>
              <w:rPr>
                <w:sz w:val="18"/>
              </w:rPr>
              <w:t>4.663.207,73</w:t>
            </w:r>
          </w:p>
        </w:tc>
        <w:tc>
          <w:tcPr>
            <w:tcW w:w="700" w:type="dxa"/>
            <w:tcMar>
              <w:top w:w="0" w:type="dxa"/>
              <w:bottom w:w="0" w:type="dxa"/>
            </w:tcMar>
            <w:vAlign w:val="center"/>
          </w:tcPr>
          <w:p w14:paraId="3974C7E1" w14:textId="77777777" w:rsidR="002660AA" w:rsidRDefault="009B260F">
            <w:pPr>
              <w:keepNext/>
              <w:keepLines/>
              <w:spacing w:after="0" w:line="240" w:lineRule="auto"/>
              <w:jc w:val="right"/>
            </w:pPr>
            <w:r>
              <w:rPr>
                <w:sz w:val="18"/>
              </w:rPr>
              <w:t>1559,2</w:t>
            </w:r>
          </w:p>
        </w:tc>
      </w:tr>
    </w:tbl>
    <w:p w14:paraId="2FD5FAF5" w14:textId="77777777" w:rsidR="002660AA" w:rsidRDefault="002660AA">
      <w:pPr>
        <w:spacing w:after="0"/>
      </w:pPr>
    </w:p>
    <w:p w14:paraId="3F095E33" w14:textId="77777777" w:rsidR="002660AA" w:rsidRDefault="009B260F">
      <w:r>
        <w:t>Funkcija 094 - Visoka naobrazba u 2025. godini ostvarena je u iznosu od 4.663.207,73 EUR, dok su u 2024. godini rashodi iznosili 299.072,25 EUR. Povećanje rashoda rezultat je nastavka investicije u okviru projekta „Znanstveno-inovacijski park - ITU“, koji se provodi u izvještajnom razdoblju.</w:t>
      </w:r>
    </w:p>
    <w:p w14:paraId="656F9228" w14:textId="77777777" w:rsidR="002660AA" w:rsidRDefault="002660AA"/>
    <w:p w14:paraId="0446FB40" w14:textId="77777777" w:rsidR="002660AA" w:rsidRDefault="009B260F">
      <w:pPr>
        <w:keepNext/>
        <w:spacing w:line="240" w:lineRule="auto"/>
        <w:jc w:val="center"/>
      </w:pPr>
      <w:r>
        <w:rPr>
          <w:sz w:val="28"/>
        </w:rPr>
        <w:t>Bilješka 151.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27052A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2217D40"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9CEC02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1BAEE2C7"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1F3EA5C4"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16A0FE4"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CF086CE" w14:textId="77777777" w:rsidR="002660AA" w:rsidRDefault="009B260F">
            <w:pPr>
              <w:keepNext/>
              <w:keepLines/>
              <w:spacing w:after="0" w:line="240" w:lineRule="auto"/>
              <w:jc w:val="center"/>
            </w:pPr>
            <w:r>
              <w:rPr>
                <w:b/>
                <w:sz w:val="18"/>
              </w:rPr>
              <w:t>Indeks (%)</w:t>
            </w:r>
          </w:p>
        </w:tc>
      </w:tr>
      <w:tr w:rsidR="002660AA" w14:paraId="0EFEA248" w14:textId="77777777">
        <w:tblPrEx>
          <w:tblCellMar>
            <w:top w:w="0" w:type="dxa"/>
            <w:bottom w:w="0" w:type="dxa"/>
          </w:tblCellMar>
        </w:tblPrEx>
        <w:trPr>
          <w:cantSplit/>
          <w:trHeight w:val="560"/>
        </w:trPr>
        <w:tc>
          <w:tcPr>
            <w:tcW w:w="700" w:type="dxa"/>
            <w:tcMar>
              <w:top w:w="0" w:type="dxa"/>
              <w:bottom w:w="0" w:type="dxa"/>
            </w:tcMar>
            <w:vAlign w:val="center"/>
          </w:tcPr>
          <w:p w14:paraId="3A204F0D" w14:textId="77777777" w:rsidR="002660AA" w:rsidRDefault="009B260F">
            <w:pPr>
              <w:keepNext/>
              <w:keepLines/>
              <w:spacing w:after="0" w:line="240" w:lineRule="auto"/>
            </w:pPr>
            <w:r>
              <w:rPr>
                <w:sz w:val="18"/>
              </w:rPr>
              <w:t>096</w:t>
            </w:r>
          </w:p>
        </w:tc>
        <w:tc>
          <w:tcPr>
            <w:tcW w:w="3180" w:type="dxa"/>
            <w:tcMar>
              <w:top w:w="0" w:type="dxa"/>
              <w:bottom w:w="0" w:type="dxa"/>
            </w:tcMar>
            <w:vAlign w:val="center"/>
          </w:tcPr>
          <w:p w14:paraId="048572E7" w14:textId="77777777" w:rsidR="002660AA" w:rsidRDefault="009B260F">
            <w:pPr>
              <w:keepNext/>
              <w:keepLines/>
              <w:spacing w:after="0" w:line="240" w:lineRule="auto"/>
            </w:pPr>
            <w:r>
              <w:rPr>
                <w:sz w:val="18"/>
              </w:rPr>
              <w:t>Dodatne usluge u obrazovanju</w:t>
            </w:r>
          </w:p>
        </w:tc>
        <w:tc>
          <w:tcPr>
            <w:tcW w:w="700" w:type="dxa"/>
            <w:tcMar>
              <w:top w:w="0" w:type="dxa"/>
              <w:bottom w:w="0" w:type="dxa"/>
            </w:tcMar>
            <w:vAlign w:val="center"/>
          </w:tcPr>
          <w:p w14:paraId="0E95BED8" w14:textId="77777777" w:rsidR="002660AA" w:rsidRDefault="009B260F">
            <w:pPr>
              <w:keepNext/>
              <w:keepLines/>
              <w:spacing w:after="0" w:line="240" w:lineRule="auto"/>
            </w:pPr>
            <w:r>
              <w:rPr>
                <w:sz w:val="18"/>
              </w:rPr>
              <w:t>096</w:t>
            </w:r>
          </w:p>
        </w:tc>
        <w:tc>
          <w:tcPr>
            <w:tcW w:w="1860" w:type="dxa"/>
            <w:tcMar>
              <w:top w:w="0" w:type="dxa"/>
              <w:bottom w:w="0" w:type="dxa"/>
            </w:tcMar>
            <w:vAlign w:val="center"/>
          </w:tcPr>
          <w:p w14:paraId="21C71D6B" w14:textId="77777777" w:rsidR="002660AA" w:rsidRDefault="009B260F">
            <w:pPr>
              <w:keepNext/>
              <w:keepLines/>
              <w:spacing w:after="0" w:line="240" w:lineRule="auto"/>
              <w:jc w:val="right"/>
            </w:pPr>
            <w:r>
              <w:rPr>
                <w:sz w:val="18"/>
              </w:rPr>
              <w:t>30.210,73</w:t>
            </w:r>
          </w:p>
        </w:tc>
        <w:tc>
          <w:tcPr>
            <w:tcW w:w="1860" w:type="dxa"/>
            <w:tcMar>
              <w:top w:w="0" w:type="dxa"/>
              <w:bottom w:w="0" w:type="dxa"/>
            </w:tcMar>
            <w:vAlign w:val="center"/>
          </w:tcPr>
          <w:p w14:paraId="6EC04725" w14:textId="77777777" w:rsidR="002660AA" w:rsidRDefault="009B260F">
            <w:pPr>
              <w:keepNext/>
              <w:keepLines/>
              <w:spacing w:after="0" w:line="240" w:lineRule="auto"/>
              <w:jc w:val="right"/>
            </w:pPr>
            <w:r>
              <w:rPr>
                <w:sz w:val="18"/>
              </w:rPr>
              <w:t>50.253,93</w:t>
            </w:r>
          </w:p>
        </w:tc>
        <w:tc>
          <w:tcPr>
            <w:tcW w:w="700" w:type="dxa"/>
            <w:tcMar>
              <w:top w:w="0" w:type="dxa"/>
              <w:bottom w:w="0" w:type="dxa"/>
            </w:tcMar>
            <w:vAlign w:val="center"/>
          </w:tcPr>
          <w:p w14:paraId="617635E6" w14:textId="77777777" w:rsidR="002660AA" w:rsidRDefault="009B260F">
            <w:pPr>
              <w:keepNext/>
              <w:keepLines/>
              <w:spacing w:after="0" w:line="240" w:lineRule="auto"/>
              <w:jc w:val="right"/>
            </w:pPr>
            <w:r>
              <w:rPr>
                <w:sz w:val="18"/>
              </w:rPr>
              <w:t>166,3</w:t>
            </w:r>
          </w:p>
        </w:tc>
      </w:tr>
    </w:tbl>
    <w:p w14:paraId="59A462F2" w14:textId="77777777" w:rsidR="002660AA" w:rsidRDefault="002660AA">
      <w:pPr>
        <w:spacing w:after="0"/>
      </w:pPr>
    </w:p>
    <w:p w14:paraId="1274C000" w14:textId="77777777" w:rsidR="002660AA" w:rsidRDefault="009B260F">
      <w:r>
        <w:t>Funkcija 096 - Dodatne usluge u obrazovanju u 2025. godini ostvarena je u iznosu od 50.253,93 EUR. Rashodi se odnose na provedbu aktivnosti „Pomoć za podmirenje troškova prehrane“ te „Jednokratne financijske donacije fizičkim osobama“.</w:t>
      </w:r>
    </w:p>
    <w:p w14:paraId="23F66A90" w14:textId="77777777" w:rsidR="002660AA" w:rsidRDefault="002660AA"/>
    <w:p w14:paraId="3F62D062" w14:textId="77777777" w:rsidR="002660AA" w:rsidRDefault="009B260F">
      <w:pPr>
        <w:keepNext/>
        <w:spacing w:line="240" w:lineRule="auto"/>
        <w:jc w:val="center"/>
      </w:pPr>
      <w:r>
        <w:rPr>
          <w:sz w:val="28"/>
        </w:rPr>
        <w:t>Bilješka 152.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15B94207"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CE110A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14984DA"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7A8E64"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4B55B15"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6C741CC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3D80EAB7" w14:textId="77777777" w:rsidR="002660AA" w:rsidRDefault="009B260F">
            <w:pPr>
              <w:keepNext/>
              <w:keepLines/>
              <w:spacing w:after="0" w:line="240" w:lineRule="auto"/>
              <w:jc w:val="center"/>
            </w:pPr>
            <w:r>
              <w:rPr>
                <w:b/>
                <w:sz w:val="18"/>
              </w:rPr>
              <w:t>Indeks (%)</w:t>
            </w:r>
          </w:p>
        </w:tc>
      </w:tr>
      <w:tr w:rsidR="002660AA" w14:paraId="7FF083F5" w14:textId="77777777">
        <w:tblPrEx>
          <w:tblCellMar>
            <w:top w:w="0" w:type="dxa"/>
            <w:bottom w:w="0" w:type="dxa"/>
          </w:tblCellMar>
        </w:tblPrEx>
        <w:trPr>
          <w:cantSplit/>
          <w:trHeight w:val="560"/>
        </w:trPr>
        <w:tc>
          <w:tcPr>
            <w:tcW w:w="700" w:type="dxa"/>
            <w:tcMar>
              <w:top w:w="0" w:type="dxa"/>
              <w:bottom w:w="0" w:type="dxa"/>
            </w:tcMar>
            <w:vAlign w:val="center"/>
          </w:tcPr>
          <w:p w14:paraId="7F26CE52" w14:textId="77777777" w:rsidR="002660AA" w:rsidRDefault="009B260F">
            <w:pPr>
              <w:keepNext/>
              <w:keepLines/>
              <w:spacing w:after="0" w:line="240" w:lineRule="auto"/>
            </w:pPr>
            <w:r>
              <w:rPr>
                <w:sz w:val="18"/>
              </w:rPr>
              <w:t>098</w:t>
            </w:r>
          </w:p>
        </w:tc>
        <w:tc>
          <w:tcPr>
            <w:tcW w:w="3180" w:type="dxa"/>
            <w:tcMar>
              <w:top w:w="0" w:type="dxa"/>
              <w:bottom w:w="0" w:type="dxa"/>
            </w:tcMar>
            <w:vAlign w:val="center"/>
          </w:tcPr>
          <w:p w14:paraId="0EC62072" w14:textId="77777777" w:rsidR="002660AA" w:rsidRDefault="009B260F">
            <w:pPr>
              <w:keepNext/>
              <w:keepLines/>
              <w:spacing w:after="0" w:line="240" w:lineRule="auto"/>
            </w:pPr>
            <w:r>
              <w:rPr>
                <w:sz w:val="18"/>
              </w:rPr>
              <w:t>Usluge obrazovanja koje nisu drugdje svrstane</w:t>
            </w:r>
          </w:p>
        </w:tc>
        <w:tc>
          <w:tcPr>
            <w:tcW w:w="700" w:type="dxa"/>
            <w:tcMar>
              <w:top w:w="0" w:type="dxa"/>
              <w:bottom w:w="0" w:type="dxa"/>
            </w:tcMar>
            <w:vAlign w:val="center"/>
          </w:tcPr>
          <w:p w14:paraId="61D7643E" w14:textId="77777777" w:rsidR="002660AA" w:rsidRDefault="009B260F">
            <w:pPr>
              <w:keepNext/>
              <w:keepLines/>
              <w:spacing w:after="0" w:line="240" w:lineRule="auto"/>
            </w:pPr>
            <w:r>
              <w:rPr>
                <w:sz w:val="18"/>
              </w:rPr>
              <w:t>098</w:t>
            </w:r>
          </w:p>
        </w:tc>
        <w:tc>
          <w:tcPr>
            <w:tcW w:w="1860" w:type="dxa"/>
            <w:tcMar>
              <w:top w:w="0" w:type="dxa"/>
              <w:bottom w:w="0" w:type="dxa"/>
            </w:tcMar>
            <w:vAlign w:val="center"/>
          </w:tcPr>
          <w:p w14:paraId="1F2D8C85" w14:textId="77777777" w:rsidR="002660AA" w:rsidRDefault="009B260F">
            <w:pPr>
              <w:keepNext/>
              <w:keepLines/>
              <w:spacing w:after="0" w:line="240" w:lineRule="auto"/>
              <w:jc w:val="right"/>
            </w:pPr>
            <w:r>
              <w:rPr>
                <w:sz w:val="18"/>
              </w:rPr>
              <w:t>768.327,71</w:t>
            </w:r>
          </w:p>
        </w:tc>
        <w:tc>
          <w:tcPr>
            <w:tcW w:w="1860" w:type="dxa"/>
            <w:tcMar>
              <w:top w:w="0" w:type="dxa"/>
              <w:bottom w:w="0" w:type="dxa"/>
            </w:tcMar>
            <w:vAlign w:val="center"/>
          </w:tcPr>
          <w:p w14:paraId="317496AB" w14:textId="77777777" w:rsidR="002660AA" w:rsidRDefault="009B260F">
            <w:pPr>
              <w:keepNext/>
              <w:keepLines/>
              <w:spacing w:after="0" w:line="240" w:lineRule="auto"/>
              <w:jc w:val="right"/>
            </w:pPr>
            <w:r>
              <w:rPr>
                <w:sz w:val="18"/>
              </w:rPr>
              <w:t>1.063.818,18</w:t>
            </w:r>
          </w:p>
        </w:tc>
        <w:tc>
          <w:tcPr>
            <w:tcW w:w="700" w:type="dxa"/>
            <w:tcMar>
              <w:top w:w="0" w:type="dxa"/>
              <w:bottom w:w="0" w:type="dxa"/>
            </w:tcMar>
            <w:vAlign w:val="center"/>
          </w:tcPr>
          <w:p w14:paraId="60C4FB7B" w14:textId="77777777" w:rsidR="002660AA" w:rsidRDefault="009B260F">
            <w:pPr>
              <w:keepNext/>
              <w:keepLines/>
              <w:spacing w:after="0" w:line="240" w:lineRule="auto"/>
              <w:jc w:val="right"/>
            </w:pPr>
            <w:r>
              <w:rPr>
                <w:sz w:val="18"/>
              </w:rPr>
              <w:t>138,5</w:t>
            </w:r>
          </w:p>
        </w:tc>
      </w:tr>
    </w:tbl>
    <w:p w14:paraId="49034BE2" w14:textId="77777777" w:rsidR="002660AA" w:rsidRDefault="002660AA">
      <w:pPr>
        <w:spacing w:after="0"/>
      </w:pPr>
    </w:p>
    <w:p w14:paraId="1E82FCF0" w14:textId="77777777" w:rsidR="002660AA" w:rsidRDefault="009B260F">
      <w:r>
        <w:t>Funkcija 098 - Usluge obrazovanja koje nisu drugdje svrstane u 2025. godini bilježi povećanje rashoda od 38,5 % u odnosu na 2024. godinu. Povećanje rashoda posljedica je većih troškova unutar aktivnosti „Najam Gimnazije i sportske dvorane po modelu javno-privatnog partnerstva (JPP)“, sukladno ugovornim obvezama i dinamici plaćanja.</w:t>
      </w:r>
    </w:p>
    <w:p w14:paraId="222E42E1" w14:textId="77777777" w:rsidR="002660AA" w:rsidRDefault="002660AA"/>
    <w:p w14:paraId="63C87459" w14:textId="77777777" w:rsidR="002660AA" w:rsidRDefault="009B260F">
      <w:pPr>
        <w:keepNext/>
        <w:spacing w:line="240" w:lineRule="auto"/>
        <w:jc w:val="center"/>
      </w:pPr>
      <w:r>
        <w:rPr>
          <w:sz w:val="28"/>
        </w:rPr>
        <w:t>Bilješka 153.</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73C1504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1C246688"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B7E2DF9"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2B676A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5CF2022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B48D819"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449719B0" w14:textId="77777777" w:rsidR="002660AA" w:rsidRDefault="009B260F">
            <w:pPr>
              <w:keepNext/>
              <w:keepLines/>
              <w:spacing w:after="0" w:line="240" w:lineRule="auto"/>
              <w:jc w:val="center"/>
            </w:pPr>
            <w:r>
              <w:rPr>
                <w:b/>
                <w:sz w:val="18"/>
              </w:rPr>
              <w:t>Indeks (%)</w:t>
            </w:r>
          </w:p>
        </w:tc>
      </w:tr>
      <w:tr w:rsidR="002660AA" w14:paraId="30A11502" w14:textId="77777777">
        <w:tblPrEx>
          <w:tblCellMar>
            <w:top w:w="0" w:type="dxa"/>
            <w:bottom w:w="0" w:type="dxa"/>
          </w:tblCellMar>
        </w:tblPrEx>
        <w:trPr>
          <w:cantSplit/>
          <w:trHeight w:val="560"/>
        </w:trPr>
        <w:tc>
          <w:tcPr>
            <w:tcW w:w="700" w:type="dxa"/>
            <w:tcMar>
              <w:top w:w="0" w:type="dxa"/>
              <w:bottom w:w="0" w:type="dxa"/>
            </w:tcMar>
            <w:vAlign w:val="center"/>
          </w:tcPr>
          <w:p w14:paraId="5A317761" w14:textId="77777777" w:rsidR="002660AA" w:rsidRDefault="009B260F">
            <w:pPr>
              <w:keepNext/>
              <w:keepLines/>
              <w:spacing w:after="0" w:line="240" w:lineRule="auto"/>
            </w:pPr>
            <w:r>
              <w:rPr>
                <w:sz w:val="18"/>
              </w:rPr>
              <w:t>1011</w:t>
            </w:r>
          </w:p>
        </w:tc>
        <w:tc>
          <w:tcPr>
            <w:tcW w:w="3180" w:type="dxa"/>
            <w:tcMar>
              <w:top w:w="0" w:type="dxa"/>
              <w:bottom w:w="0" w:type="dxa"/>
            </w:tcMar>
            <w:vAlign w:val="center"/>
          </w:tcPr>
          <w:p w14:paraId="36BD9815" w14:textId="77777777" w:rsidR="002660AA" w:rsidRDefault="009B260F">
            <w:pPr>
              <w:keepNext/>
              <w:keepLines/>
              <w:spacing w:after="0" w:line="240" w:lineRule="auto"/>
            </w:pPr>
            <w:r>
              <w:rPr>
                <w:sz w:val="18"/>
              </w:rPr>
              <w:t>Bolest</w:t>
            </w:r>
          </w:p>
        </w:tc>
        <w:tc>
          <w:tcPr>
            <w:tcW w:w="700" w:type="dxa"/>
            <w:tcMar>
              <w:top w:w="0" w:type="dxa"/>
              <w:bottom w:w="0" w:type="dxa"/>
            </w:tcMar>
            <w:vAlign w:val="center"/>
          </w:tcPr>
          <w:p w14:paraId="22804149" w14:textId="77777777" w:rsidR="002660AA" w:rsidRDefault="009B260F">
            <w:pPr>
              <w:keepNext/>
              <w:keepLines/>
              <w:spacing w:after="0" w:line="240" w:lineRule="auto"/>
            </w:pPr>
            <w:r>
              <w:rPr>
                <w:sz w:val="18"/>
              </w:rPr>
              <w:t>1011</w:t>
            </w:r>
          </w:p>
        </w:tc>
        <w:tc>
          <w:tcPr>
            <w:tcW w:w="1860" w:type="dxa"/>
            <w:tcMar>
              <w:top w:w="0" w:type="dxa"/>
              <w:bottom w:w="0" w:type="dxa"/>
            </w:tcMar>
            <w:vAlign w:val="center"/>
          </w:tcPr>
          <w:p w14:paraId="2D555753" w14:textId="77777777" w:rsidR="002660AA" w:rsidRDefault="009B260F">
            <w:pPr>
              <w:keepNext/>
              <w:keepLines/>
              <w:spacing w:after="0" w:line="240" w:lineRule="auto"/>
              <w:jc w:val="right"/>
            </w:pPr>
            <w:r>
              <w:rPr>
                <w:sz w:val="18"/>
              </w:rPr>
              <w:t>173.944,10</w:t>
            </w:r>
          </w:p>
        </w:tc>
        <w:tc>
          <w:tcPr>
            <w:tcW w:w="1860" w:type="dxa"/>
            <w:tcMar>
              <w:top w:w="0" w:type="dxa"/>
              <w:bottom w:w="0" w:type="dxa"/>
            </w:tcMar>
            <w:vAlign w:val="center"/>
          </w:tcPr>
          <w:p w14:paraId="3E03E1C5" w14:textId="77777777" w:rsidR="002660AA" w:rsidRDefault="009B260F">
            <w:pPr>
              <w:keepNext/>
              <w:keepLines/>
              <w:spacing w:after="0" w:line="240" w:lineRule="auto"/>
              <w:jc w:val="right"/>
            </w:pPr>
            <w:r>
              <w:rPr>
                <w:sz w:val="18"/>
              </w:rPr>
              <w:t>298.885,67</w:t>
            </w:r>
          </w:p>
        </w:tc>
        <w:tc>
          <w:tcPr>
            <w:tcW w:w="700" w:type="dxa"/>
            <w:tcMar>
              <w:top w:w="0" w:type="dxa"/>
              <w:bottom w:w="0" w:type="dxa"/>
            </w:tcMar>
            <w:vAlign w:val="center"/>
          </w:tcPr>
          <w:p w14:paraId="35F91B82" w14:textId="77777777" w:rsidR="002660AA" w:rsidRDefault="009B260F">
            <w:pPr>
              <w:keepNext/>
              <w:keepLines/>
              <w:spacing w:after="0" w:line="240" w:lineRule="auto"/>
              <w:jc w:val="right"/>
            </w:pPr>
            <w:r>
              <w:rPr>
                <w:sz w:val="18"/>
              </w:rPr>
              <w:t>171,8</w:t>
            </w:r>
          </w:p>
        </w:tc>
      </w:tr>
    </w:tbl>
    <w:p w14:paraId="2EAFABD8" w14:textId="77777777" w:rsidR="002660AA" w:rsidRDefault="002660AA">
      <w:pPr>
        <w:spacing w:after="0"/>
      </w:pPr>
    </w:p>
    <w:p w14:paraId="24604733" w14:textId="77777777" w:rsidR="002660AA" w:rsidRDefault="009B260F">
      <w:r>
        <w:t>Funkcija 1011 - Bolest u 2025. godini ostvarena je u iznosu od 298.885,67 EUR, što predstavlja povećanje od 71,8 % u odnosu na prethodnu godinu. Povećanje rashoda rezultat je većih izdvajanja unutar aktivnosti „Darivanja osoba s invaliditetom“ te „Sufinanciranje programa civilnog društva za unaprjeđenje kvalitete života osoba s invaliditetom“. U okviru navedene aktivnosti evidentirana je i donacija Udruzi za pomoć osobama s intelektualnim teškoćama „Latice“ u iznosu od 50.000,00 EUR.</w:t>
      </w:r>
    </w:p>
    <w:p w14:paraId="1C983F2E" w14:textId="77777777" w:rsidR="002660AA" w:rsidRDefault="002660AA"/>
    <w:p w14:paraId="17BC7E69" w14:textId="77777777" w:rsidR="002660AA" w:rsidRDefault="009B260F">
      <w:pPr>
        <w:keepNext/>
        <w:spacing w:line="240" w:lineRule="auto"/>
        <w:jc w:val="center"/>
      </w:pPr>
      <w:r>
        <w:rPr>
          <w:sz w:val="28"/>
        </w:rPr>
        <w:t>Bilješka 154.</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D5E33F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54A4C8D"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7E677ED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637A9C4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1C95DD3"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55215D4A"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C04C09D" w14:textId="77777777" w:rsidR="002660AA" w:rsidRDefault="009B260F">
            <w:pPr>
              <w:keepNext/>
              <w:keepLines/>
              <w:spacing w:after="0" w:line="240" w:lineRule="auto"/>
              <w:jc w:val="center"/>
            </w:pPr>
            <w:r>
              <w:rPr>
                <w:b/>
                <w:sz w:val="18"/>
              </w:rPr>
              <w:t>Indeks (%)</w:t>
            </w:r>
          </w:p>
        </w:tc>
      </w:tr>
      <w:tr w:rsidR="002660AA" w14:paraId="7C5F579E" w14:textId="77777777">
        <w:tblPrEx>
          <w:tblCellMar>
            <w:top w:w="0" w:type="dxa"/>
            <w:bottom w:w="0" w:type="dxa"/>
          </w:tblCellMar>
        </w:tblPrEx>
        <w:trPr>
          <w:cantSplit/>
          <w:trHeight w:val="560"/>
        </w:trPr>
        <w:tc>
          <w:tcPr>
            <w:tcW w:w="700" w:type="dxa"/>
            <w:tcMar>
              <w:top w:w="0" w:type="dxa"/>
              <w:bottom w:w="0" w:type="dxa"/>
            </w:tcMar>
            <w:vAlign w:val="center"/>
          </w:tcPr>
          <w:p w14:paraId="01FD0239" w14:textId="77777777" w:rsidR="002660AA" w:rsidRDefault="009B260F">
            <w:pPr>
              <w:keepNext/>
              <w:keepLines/>
              <w:spacing w:after="0" w:line="240" w:lineRule="auto"/>
            </w:pPr>
            <w:r>
              <w:rPr>
                <w:sz w:val="18"/>
              </w:rPr>
              <w:t>102</w:t>
            </w:r>
          </w:p>
        </w:tc>
        <w:tc>
          <w:tcPr>
            <w:tcW w:w="3180" w:type="dxa"/>
            <w:tcMar>
              <w:top w:w="0" w:type="dxa"/>
              <w:bottom w:w="0" w:type="dxa"/>
            </w:tcMar>
            <w:vAlign w:val="center"/>
          </w:tcPr>
          <w:p w14:paraId="624AF69C" w14:textId="77777777" w:rsidR="002660AA" w:rsidRDefault="009B260F">
            <w:pPr>
              <w:keepNext/>
              <w:keepLines/>
              <w:spacing w:after="0" w:line="240" w:lineRule="auto"/>
            </w:pPr>
            <w:r>
              <w:rPr>
                <w:sz w:val="18"/>
              </w:rPr>
              <w:t>Starost</w:t>
            </w:r>
          </w:p>
        </w:tc>
        <w:tc>
          <w:tcPr>
            <w:tcW w:w="700" w:type="dxa"/>
            <w:tcMar>
              <w:top w:w="0" w:type="dxa"/>
              <w:bottom w:w="0" w:type="dxa"/>
            </w:tcMar>
            <w:vAlign w:val="center"/>
          </w:tcPr>
          <w:p w14:paraId="70E39776" w14:textId="77777777" w:rsidR="002660AA" w:rsidRDefault="009B260F">
            <w:pPr>
              <w:keepNext/>
              <w:keepLines/>
              <w:spacing w:after="0" w:line="240" w:lineRule="auto"/>
            </w:pPr>
            <w:r>
              <w:rPr>
                <w:sz w:val="18"/>
              </w:rPr>
              <w:t>102</w:t>
            </w:r>
          </w:p>
        </w:tc>
        <w:tc>
          <w:tcPr>
            <w:tcW w:w="1860" w:type="dxa"/>
            <w:tcMar>
              <w:top w:w="0" w:type="dxa"/>
              <w:bottom w:w="0" w:type="dxa"/>
            </w:tcMar>
            <w:vAlign w:val="center"/>
          </w:tcPr>
          <w:p w14:paraId="66368413" w14:textId="77777777" w:rsidR="002660AA" w:rsidRDefault="009B260F">
            <w:pPr>
              <w:keepNext/>
              <w:keepLines/>
              <w:spacing w:after="0" w:line="240" w:lineRule="auto"/>
              <w:jc w:val="right"/>
            </w:pPr>
            <w:r>
              <w:rPr>
                <w:sz w:val="18"/>
              </w:rPr>
              <w:t>202.550,00</w:t>
            </w:r>
          </w:p>
        </w:tc>
        <w:tc>
          <w:tcPr>
            <w:tcW w:w="1860" w:type="dxa"/>
            <w:tcMar>
              <w:top w:w="0" w:type="dxa"/>
              <w:bottom w:w="0" w:type="dxa"/>
            </w:tcMar>
            <w:vAlign w:val="center"/>
          </w:tcPr>
          <w:p w14:paraId="5475B0A2" w14:textId="77777777" w:rsidR="002660AA" w:rsidRDefault="009B260F">
            <w:pPr>
              <w:keepNext/>
              <w:keepLines/>
              <w:spacing w:after="0" w:line="240" w:lineRule="auto"/>
              <w:jc w:val="right"/>
            </w:pPr>
            <w:r>
              <w:rPr>
                <w:sz w:val="18"/>
              </w:rPr>
              <w:t>238.038,03</w:t>
            </w:r>
          </w:p>
        </w:tc>
        <w:tc>
          <w:tcPr>
            <w:tcW w:w="700" w:type="dxa"/>
            <w:tcMar>
              <w:top w:w="0" w:type="dxa"/>
              <w:bottom w:w="0" w:type="dxa"/>
            </w:tcMar>
            <w:vAlign w:val="center"/>
          </w:tcPr>
          <w:p w14:paraId="420607A0" w14:textId="77777777" w:rsidR="002660AA" w:rsidRDefault="009B260F">
            <w:pPr>
              <w:keepNext/>
              <w:keepLines/>
              <w:spacing w:after="0" w:line="240" w:lineRule="auto"/>
              <w:jc w:val="right"/>
            </w:pPr>
            <w:r>
              <w:rPr>
                <w:sz w:val="18"/>
              </w:rPr>
              <w:t>117,5</w:t>
            </w:r>
          </w:p>
        </w:tc>
      </w:tr>
    </w:tbl>
    <w:p w14:paraId="70B14813" w14:textId="77777777" w:rsidR="002660AA" w:rsidRDefault="002660AA">
      <w:pPr>
        <w:spacing w:after="0"/>
      </w:pPr>
    </w:p>
    <w:p w14:paraId="5C26EE85" w14:textId="77777777" w:rsidR="002660AA" w:rsidRDefault="009B260F">
      <w:r>
        <w:t>Funkcija 102 - Starost u 2025. godini ostvarena je u iznosu od 238.038,03 EUR. Povećanje rashoda rezultat je većih izdvajanja unutar aktivnosti „Darivanje umirovljenika“, uslijed povećanja dohodovnog cenzusa kako bi pravo na isplatu božićnice ostvario veći broj umirovljenika. </w:t>
      </w:r>
    </w:p>
    <w:p w14:paraId="5C995AA0" w14:textId="77777777" w:rsidR="002660AA" w:rsidRDefault="002660AA"/>
    <w:p w14:paraId="0236A510" w14:textId="77777777" w:rsidR="002660AA" w:rsidRDefault="009B260F">
      <w:pPr>
        <w:keepNext/>
        <w:spacing w:line="240" w:lineRule="auto"/>
        <w:jc w:val="center"/>
      </w:pPr>
      <w:r>
        <w:rPr>
          <w:sz w:val="28"/>
        </w:rPr>
        <w:t>Bilješka 155.</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57B5B0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056710B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5DF9BF6F"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131EC91"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034D4CC6"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786F017"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1EB589FC" w14:textId="77777777" w:rsidR="002660AA" w:rsidRDefault="009B260F">
            <w:pPr>
              <w:keepNext/>
              <w:keepLines/>
              <w:spacing w:after="0" w:line="240" w:lineRule="auto"/>
              <w:jc w:val="center"/>
            </w:pPr>
            <w:r>
              <w:rPr>
                <w:b/>
                <w:sz w:val="18"/>
              </w:rPr>
              <w:t>Indeks (%)</w:t>
            </w:r>
          </w:p>
        </w:tc>
      </w:tr>
      <w:tr w:rsidR="002660AA" w14:paraId="20EB9A11" w14:textId="77777777">
        <w:tblPrEx>
          <w:tblCellMar>
            <w:top w:w="0" w:type="dxa"/>
            <w:bottom w:w="0" w:type="dxa"/>
          </w:tblCellMar>
        </w:tblPrEx>
        <w:trPr>
          <w:cantSplit/>
          <w:trHeight w:val="560"/>
        </w:trPr>
        <w:tc>
          <w:tcPr>
            <w:tcW w:w="700" w:type="dxa"/>
            <w:tcMar>
              <w:top w:w="0" w:type="dxa"/>
              <w:bottom w:w="0" w:type="dxa"/>
            </w:tcMar>
            <w:vAlign w:val="center"/>
          </w:tcPr>
          <w:p w14:paraId="58608E4F" w14:textId="77777777" w:rsidR="002660AA" w:rsidRDefault="009B260F">
            <w:pPr>
              <w:keepNext/>
              <w:keepLines/>
              <w:spacing w:after="0" w:line="240" w:lineRule="auto"/>
            </w:pPr>
            <w:r>
              <w:rPr>
                <w:sz w:val="18"/>
              </w:rPr>
              <w:t>106</w:t>
            </w:r>
          </w:p>
        </w:tc>
        <w:tc>
          <w:tcPr>
            <w:tcW w:w="3180" w:type="dxa"/>
            <w:tcMar>
              <w:top w:w="0" w:type="dxa"/>
              <w:bottom w:w="0" w:type="dxa"/>
            </w:tcMar>
            <w:vAlign w:val="center"/>
          </w:tcPr>
          <w:p w14:paraId="0B405A53" w14:textId="77777777" w:rsidR="002660AA" w:rsidRDefault="009B260F">
            <w:pPr>
              <w:keepNext/>
              <w:keepLines/>
              <w:spacing w:after="0" w:line="240" w:lineRule="auto"/>
            </w:pPr>
            <w:r>
              <w:rPr>
                <w:sz w:val="18"/>
              </w:rPr>
              <w:t>Stanovanje</w:t>
            </w:r>
          </w:p>
        </w:tc>
        <w:tc>
          <w:tcPr>
            <w:tcW w:w="700" w:type="dxa"/>
            <w:tcMar>
              <w:top w:w="0" w:type="dxa"/>
              <w:bottom w:w="0" w:type="dxa"/>
            </w:tcMar>
            <w:vAlign w:val="center"/>
          </w:tcPr>
          <w:p w14:paraId="3ED5CBAA" w14:textId="77777777" w:rsidR="002660AA" w:rsidRDefault="009B260F">
            <w:pPr>
              <w:keepNext/>
              <w:keepLines/>
              <w:spacing w:after="0" w:line="240" w:lineRule="auto"/>
            </w:pPr>
            <w:r>
              <w:rPr>
                <w:sz w:val="18"/>
              </w:rPr>
              <w:t>106</w:t>
            </w:r>
          </w:p>
        </w:tc>
        <w:tc>
          <w:tcPr>
            <w:tcW w:w="1860" w:type="dxa"/>
            <w:tcMar>
              <w:top w:w="0" w:type="dxa"/>
              <w:bottom w:w="0" w:type="dxa"/>
            </w:tcMar>
            <w:vAlign w:val="center"/>
          </w:tcPr>
          <w:p w14:paraId="2AF3045D" w14:textId="77777777" w:rsidR="002660AA" w:rsidRDefault="009B260F">
            <w:pPr>
              <w:keepNext/>
              <w:keepLines/>
              <w:spacing w:after="0" w:line="240" w:lineRule="auto"/>
              <w:jc w:val="right"/>
            </w:pPr>
            <w:r>
              <w:rPr>
                <w:sz w:val="18"/>
              </w:rPr>
              <w:t>178.046,63</w:t>
            </w:r>
          </w:p>
        </w:tc>
        <w:tc>
          <w:tcPr>
            <w:tcW w:w="1860" w:type="dxa"/>
            <w:tcMar>
              <w:top w:w="0" w:type="dxa"/>
              <w:bottom w:w="0" w:type="dxa"/>
            </w:tcMar>
            <w:vAlign w:val="center"/>
          </w:tcPr>
          <w:p w14:paraId="47FB21D3" w14:textId="77777777" w:rsidR="002660AA" w:rsidRDefault="009B260F">
            <w:pPr>
              <w:keepNext/>
              <w:keepLines/>
              <w:spacing w:after="0" w:line="240" w:lineRule="auto"/>
              <w:jc w:val="right"/>
            </w:pPr>
            <w:r>
              <w:rPr>
                <w:sz w:val="18"/>
              </w:rPr>
              <w:t>200.772,18</w:t>
            </w:r>
          </w:p>
        </w:tc>
        <w:tc>
          <w:tcPr>
            <w:tcW w:w="700" w:type="dxa"/>
            <w:tcMar>
              <w:top w:w="0" w:type="dxa"/>
              <w:bottom w:w="0" w:type="dxa"/>
            </w:tcMar>
            <w:vAlign w:val="center"/>
          </w:tcPr>
          <w:p w14:paraId="084D84C8" w14:textId="77777777" w:rsidR="002660AA" w:rsidRDefault="009B260F">
            <w:pPr>
              <w:keepNext/>
              <w:keepLines/>
              <w:spacing w:after="0" w:line="240" w:lineRule="auto"/>
              <w:jc w:val="right"/>
            </w:pPr>
            <w:r>
              <w:rPr>
                <w:sz w:val="18"/>
              </w:rPr>
              <w:t>112,8</w:t>
            </w:r>
          </w:p>
        </w:tc>
      </w:tr>
    </w:tbl>
    <w:p w14:paraId="09823481" w14:textId="77777777" w:rsidR="002660AA" w:rsidRDefault="002660AA">
      <w:pPr>
        <w:spacing w:after="0"/>
      </w:pPr>
    </w:p>
    <w:p w14:paraId="6324E06C" w14:textId="77777777" w:rsidR="002660AA" w:rsidRDefault="009B260F">
      <w:r>
        <w:t>Funkcija 106 - Stanovanje u 2025. godini ostvarena je u iznosu od 200.772,18 EUR, što predstavlja povećanje od 12,8 % u odnosu na 2024. godinu. Povećanje rashoda rezultat je većih izdvajanja unutar aktivnosti „Naknade za troškove stanovanja“, sukladno programu socijalne skrbi te povećanim potrebama korisnika u izvještajnom razdoblju.</w:t>
      </w:r>
    </w:p>
    <w:p w14:paraId="18C28BD8" w14:textId="77777777" w:rsidR="002660AA" w:rsidRDefault="002660AA"/>
    <w:p w14:paraId="7A7B9390" w14:textId="77777777" w:rsidR="002660AA" w:rsidRDefault="009B260F">
      <w:pPr>
        <w:keepNext/>
        <w:spacing w:line="240" w:lineRule="auto"/>
        <w:jc w:val="center"/>
      </w:pPr>
      <w:r>
        <w:rPr>
          <w:sz w:val="28"/>
        </w:rPr>
        <w:t>Bilješka 156.</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4FC5DB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71D9010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2D0A7F22"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06BBF75F"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40DBDF1"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E3CBCDD"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0B263CEF" w14:textId="77777777" w:rsidR="002660AA" w:rsidRDefault="009B260F">
            <w:pPr>
              <w:keepNext/>
              <w:keepLines/>
              <w:spacing w:after="0" w:line="240" w:lineRule="auto"/>
              <w:jc w:val="center"/>
            </w:pPr>
            <w:r>
              <w:rPr>
                <w:b/>
                <w:sz w:val="18"/>
              </w:rPr>
              <w:t>Indeks (%)</w:t>
            </w:r>
          </w:p>
        </w:tc>
      </w:tr>
      <w:tr w:rsidR="002660AA" w14:paraId="26E06FF6" w14:textId="77777777">
        <w:tblPrEx>
          <w:tblCellMar>
            <w:top w:w="0" w:type="dxa"/>
            <w:bottom w:w="0" w:type="dxa"/>
          </w:tblCellMar>
        </w:tblPrEx>
        <w:trPr>
          <w:cantSplit/>
          <w:trHeight w:val="560"/>
        </w:trPr>
        <w:tc>
          <w:tcPr>
            <w:tcW w:w="700" w:type="dxa"/>
            <w:tcMar>
              <w:top w:w="0" w:type="dxa"/>
              <w:bottom w:w="0" w:type="dxa"/>
            </w:tcMar>
            <w:vAlign w:val="center"/>
          </w:tcPr>
          <w:p w14:paraId="70A3F47E" w14:textId="77777777" w:rsidR="002660AA" w:rsidRDefault="009B260F">
            <w:pPr>
              <w:keepNext/>
              <w:keepLines/>
              <w:spacing w:after="0" w:line="240" w:lineRule="auto"/>
            </w:pPr>
            <w:r>
              <w:rPr>
                <w:sz w:val="18"/>
              </w:rPr>
              <w:t>107</w:t>
            </w:r>
          </w:p>
        </w:tc>
        <w:tc>
          <w:tcPr>
            <w:tcW w:w="3180" w:type="dxa"/>
            <w:tcMar>
              <w:top w:w="0" w:type="dxa"/>
              <w:bottom w:w="0" w:type="dxa"/>
            </w:tcMar>
            <w:vAlign w:val="center"/>
          </w:tcPr>
          <w:p w14:paraId="5CE77CC2" w14:textId="77777777" w:rsidR="002660AA" w:rsidRDefault="009B260F">
            <w:pPr>
              <w:keepNext/>
              <w:keepLines/>
              <w:spacing w:after="0" w:line="240" w:lineRule="auto"/>
            </w:pPr>
            <w:r>
              <w:rPr>
                <w:sz w:val="18"/>
              </w:rPr>
              <w:t>Socijalna pomoć stanovništvu koje nije obuhvaćeno redovnim socijalnim programima</w:t>
            </w:r>
          </w:p>
        </w:tc>
        <w:tc>
          <w:tcPr>
            <w:tcW w:w="700" w:type="dxa"/>
            <w:tcMar>
              <w:top w:w="0" w:type="dxa"/>
              <w:bottom w:w="0" w:type="dxa"/>
            </w:tcMar>
            <w:vAlign w:val="center"/>
          </w:tcPr>
          <w:p w14:paraId="37AA0966" w14:textId="77777777" w:rsidR="002660AA" w:rsidRDefault="009B260F">
            <w:pPr>
              <w:keepNext/>
              <w:keepLines/>
              <w:spacing w:after="0" w:line="240" w:lineRule="auto"/>
            </w:pPr>
            <w:r>
              <w:rPr>
                <w:sz w:val="18"/>
              </w:rPr>
              <w:t>107</w:t>
            </w:r>
          </w:p>
        </w:tc>
        <w:tc>
          <w:tcPr>
            <w:tcW w:w="1860" w:type="dxa"/>
            <w:tcMar>
              <w:top w:w="0" w:type="dxa"/>
              <w:bottom w:w="0" w:type="dxa"/>
            </w:tcMar>
            <w:vAlign w:val="center"/>
          </w:tcPr>
          <w:p w14:paraId="11376F9D" w14:textId="77777777" w:rsidR="002660AA" w:rsidRDefault="009B260F">
            <w:pPr>
              <w:keepNext/>
              <w:keepLines/>
              <w:spacing w:after="0" w:line="240" w:lineRule="auto"/>
              <w:jc w:val="right"/>
            </w:pPr>
            <w:r>
              <w:rPr>
                <w:sz w:val="18"/>
              </w:rPr>
              <w:t>234.405,84</w:t>
            </w:r>
          </w:p>
        </w:tc>
        <w:tc>
          <w:tcPr>
            <w:tcW w:w="1860" w:type="dxa"/>
            <w:tcMar>
              <w:top w:w="0" w:type="dxa"/>
              <w:bottom w:w="0" w:type="dxa"/>
            </w:tcMar>
            <w:vAlign w:val="center"/>
          </w:tcPr>
          <w:p w14:paraId="16C1A08C" w14:textId="77777777" w:rsidR="002660AA" w:rsidRDefault="009B260F">
            <w:pPr>
              <w:keepNext/>
              <w:keepLines/>
              <w:spacing w:after="0" w:line="240" w:lineRule="auto"/>
              <w:jc w:val="right"/>
            </w:pPr>
            <w:r>
              <w:rPr>
                <w:sz w:val="18"/>
              </w:rPr>
              <w:t>306.019,89</w:t>
            </w:r>
          </w:p>
        </w:tc>
        <w:tc>
          <w:tcPr>
            <w:tcW w:w="700" w:type="dxa"/>
            <w:tcMar>
              <w:top w:w="0" w:type="dxa"/>
              <w:bottom w:w="0" w:type="dxa"/>
            </w:tcMar>
            <w:vAlign w:val="center"/>
          </w:tcPr>
          <w:p w14:paraId="1D38CB6A" w14:textId="77777777" w:rsidR="002660AA" w:rsidRDefault="009B260F">
            <w:pPr>
              <w:keepNext/>
              <w:keepLines/>
              <w:spacing w:after="0" w:line="240" w:lineRule="auto"/>
              <w:jc w:val="right"/>
            </w:pPr>
            <w:r>
              <w:rPr>
                <w:sz w:val="18"/>
              </w:rPr>
              <w:t>130,6</w:t>
            </w:r>
          </w:p>
        </w:tc>
      </w:tr>
    </w:tbl>
    <w:p w14:paraId="0B33EAAA" w14:textId="77777777" w:rsidR="002660AA" w:rsidRDefault="002660AA">
      <w:pPr>
        <w:spacing w:after="0"/>
      </w:pPr>
    </w:p>
    <w:p w14:paraId="61BE3B5F" w14:textId="77777777" w:rsidR="002660AA" w:rsidRDefault="009B260F">
      <w:r>
        <w:t>Funkcija 107 - Socijalna pomoć stanovništvu koje nije obuhvaćeno redovnim socijalnim programima u 2025. godini ostvarena je u iznosu od 306.019,89 EUR, što predstavlja povećanje od 30,6 % u odnosu na 2024. godinu. Povećanje rashoda rezultat je većih izdvajanja unutar aktivnosti „Sufinanciranje programa udruga - zdravstva i socijalne skrbi“, uključujući financiranje Gradskog društva Crvenog križa.</w:t>
      </w:r>
    </w:p>
    <w:p w14:paraId="59F88D84" w14:textId="77777777" w:rsidR="002660AA" w:rsidRDefault="002660AA"/>
    <w:p w14:paraId="2F59F146" w14:textId="77777777" w:rsidR="002660AA" w:rsidRDefault="009B260F">
      <w:pPr>
        <w:keepNext/>
        <w:spacing w:line="240" w:lineRule="auto"/>
        <w:jc w:val="center"/>
      </w:pPr>
      <w:r>
        <w:rPr>
          <w:sz w:val="28"/>
        </w:rPr>
        <w:t>Bilješka 157.</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55B829BB"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2889C89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8E24C76"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C9C1665"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B13FE20" w14:textId="77777777" w:rsidR="002660AA" w:rsidRDefault="009B260F">
            <w:pPr>
              <w:keepNext/>
              <w:keepLines/>
              <w:spacing w:after="0" w:line="240" w:lineRule="auto"/>
              <w:jc w:val="center"/>
            </w:pPr>
            <w:r>
              <w:rPr>
                <w:b/>
                <w:sz w:val="18"/>
              </w:rPr>
              <w:t>Ostvareno u izvještajnom razdoblju prethodne godine</w:t>
            </w:r>
          </w:p>
        </w:tc>
        <w:tc>
          <w:tcPr>
            <w:tcW w:w="1860" w:type="dxa"/>
            <w:shd w:val="clear" w:color="auto" w:fill="E7F0F9"/>
            <w:tcMar>
              <w:top w:w="0" w:type="dxa"/>
              <w:bottom w:w="0" w:type="dxa"/>
            </w:tcMar>
            <w:vAlign w:val="center"/>
          </w:tcPr>
          <w:p w14:paraId="4908FEDF" w14:textId="77777777" w:rsidR="002660AA" w:rsidRDefault="009B260F">
            <w:pPr>
              <w:keepNext/>
              <w:keepLines/>
              <w:spacing w:after="0" w:line="240" w:lineRule="auto"/>
              <w:jc w:val="center"/>
            </w:pPr>
            <w:r>
              <w:rPr>
                <w:b/>
                <w:sz w:val="18"/>
              </w:rPr>
              <w:t>Ostvareno u izvještajnom razdoblju tekuće godine</w:t>
            </w:r>
          </w:p>
        </w:tc>
        <w:tc>
          <w:tcPr>
            <w:tcW w:w="700" w:type="dxa"/>
            <w:shd w:val="clear" w:color="auto" w:fill="E7F0F9"/>
            <w:tcMar>
              <w:top w:w="0" w:type="dxa"/>
              <w:bottom w:w="0" w:type="dxa"/>
            </w:tcMar>
            <w:vAlign w:val="center"/>
          </w:tcPr>
          <w:p w14:paraId="7926848E" w14:textId="77777777" w:rsidR="002660AA" w:rsidRDefault="009B260F">
            <w:pPr>
              <w:keepNext/>
              <w:keepLines/>
              <w:spacing w:after="0" w:line="240" w:lineRule="auto"/>
              <w:jc w:val="center"/>
            </w:pPr>
            <w:r>
              <w:rPr>
                <w:b/>
                <w:sz w:val="18"/>
              </w:rPr>
              <w:t>Indeks (%)</w:t>
            </w:r>
          </w:p>
        </w:tc>
      </w:tr>
      <w:tr w:rsidR="002660AA" w14:paraId="47E820D1" w14:textId="77777777">
        <w:tblPrEx>
          <w:tblCellMar>
            <w:top w:w="0" w:type="dxa"/>
            <w:bottom w:w="0" w:type="dxa"/>
          </w:tblCellMar>
        </w:tblPrEx>
        <w:trPr>
          <w:cantSplit/>
          <w:trHeight w:val="560"/>
        </w:trPr>
        <w:tc>
          <w:tcPr>
            <w:tcW w:w="700" w:type="dxa"/>
            <w:tcMar>
              <w:top w:w="0" w:type="dxa"/>
              <w:bottom w:w="0" w:type="dxa"/>
            </w:tcMar>
            <w:vAlign w:val="center"/>
          </w:tcPr>
          <w:p w14:paraId="1525C560" w14:textId="77777777" w:rsidR="002660AA" w:rsidRDefault="009B260F">
            <w:pPr>
              <w:keepNext/>
              <w:keepLines/>
              <w:spacing w:after="0" w:line="240" w:lineRule="auto"/>
            </w:pPr>
            <w:r>
              <w:rPr>
                <w:sz w:val="18"/>
              </w:rPr>
              <w:t>109</w:t>
            </w:r>
          </w:p>
        </w:tc>
        <w:tc>
          <w:tcPr>
            <w:tcW w:w="3180" w:type="dxa"/>
            <w:tcMar>
              <w:top w:w="0" w:type="dxa"/>
              <w:bottom w:w="0" w:type="dxa"/>
            </w:tcMar>
            <w:vAlign w:val="center"/>
          </w:tcPr>
          <w:p w14:paraId="6511B091" w14:textId="77777777" w:rsidR="002660AA" w:rsidRDefault="009B260F">
            <w:pPr>
              <w:keepNext/>
              <w:keepLines/>
              <w:spacing w:after="0" w:line="240" w:lineRule="auto"/>
            </w:pPr>
            <w:r>
              <w:rPr>
                <w:sz w:val="18"/>
              </w:rPr>
              <w:t>Aktivnosti socijalne zaštite koje nisu drugdje svrstane</w:t>
            </w:r>
          </w:p>
        </w:tc>
        <w:tc>
          <w:tcPr>
            <w:tcW w:w="700" w:type="dxa"/>
            <w:tcMar>
              <w:top w:w="0" w:type="dxa"/>
              <w:bottom w:w="0" w:type="dxa"/>
            </w:tcMar>
            <w:vAlign w:val="center"/>
          </w:tcPr>
          <w:p w14:paraId="72AF8975" w14:textId="77777777" w:rsidR="002660AA" w:rsidRDefault="009B260F">
            <w:pPr>
              <w:keepNext/>
              <w:keepLines/>
              <w:spacing w:after="0" w:line="240" w:lineRule="auto"/>
            </w:pPr>
            <w:r>
              <w:rPr>
                <w:sz w:val="18"/>
              </w:rPr>
              <w:t>109</w:t>
            </w:r>
          </w:p>
        </w:tc>
        <w:tc>
          <w:tcPr>
            <w:tcW w:w="1860" w:type="dxa"/>
            <w:tcMar>
              <w:top w:w="0" w:type="dxa"/>
              <w:bottom w:w="0" w:type="dxa"/>
            </w:tcMar>
            <w:vAlign w:val="center"/>
          </w:tcPr>
          <w:p w14:paraId="53394517" w14:textId="77777777" w:rsidR="002660AA" w:rsidRDefault="009B260F">
            <w:pPr>
              <w:keepNext/>
              <w:keepLines/>
              <w:spacing w:after="0" w:line="240" w:lineRule="auto"/>
              <w:jc w:val="right"/>
            </w:pPr>
            <w:r>
              <w:rPr>
                <w:sz w:val="18"/>
              </w:rPr>
              <w:t>85.591,94</w:t>
            </w:r>
          </w:p>
        </w:tc>
        <w:tc>
          <w:tcPr>
            <w:tcW w:w="1860" w:type="dxa"/>
            <w:tcMar>
              <w:top w:w="0" w:type="dxa"/>
              <w:bottom w:w="0" w:type="dxa"/>
            </w:tcMar>
            <w:vAlign w:val="center"/>
          </w:tcPr>
          <w:p w14:paraId="571C594C" w14:textId="77777777" w:rsidR="002660AA" w:rsidRDefault="009B260F">
            <w:pPr>
              <w:keepNext/>
              <w:keepLines/>
              <w:spacing w:after="0" w:line="240" w:lineRule="auto"/>
              <w:jc w:val="right"/>
            </w:pPr>
            <w:r>
              <w:rPr>
                <w:sz w:val="18"/>
              </w:rPr>
              <w:t>115.704,02</w:t>
            </w:r>
          </w:p>
        </w:tc>
        <w:tc>
          <w:tcPr>
            <w:tcW w:w="700" w:type="dxa"/>
            <w:tcMar>
              <w:top w:w="0" w:type="dxa"/>
              <w:bottom w:w="0" w:type="dxa"/>
            </w:tcMar>
            <w:vAlign w:val="center"/>
          </w:tcPr>
          <w:p w14:paraId="759A9F8F" w14:textId="77777777" w:rsidR="002660AA" w:rsidRDefault="009B260F">
            <w:pPr>
              <w:keepNext/>
              <w:keepLines/>
              <w:spacing w:after="0" w:line="240" w:lineRule="auto"/>
              <w:jc w:val="right"/>
            </w:pPr>
            <w:r>
              <w:rPr>
                <w:sz w:val="18"/>
              </w:rPr>
              <w:t>135,2</w:t>
            </w:r>
          </w:p>
        </w:tc>
      </w:tr>
    </w:tbl>
    <w:p w14:paraId="2F3FD31C" w14:textId="77777777" w:rsidR="002660AA" w:rsidRDefault="002660AA">
      <w:pPr>
        <w:spacing w:after="0"/>
      </w:pPr>
    </w:p>
    <w:p w14:paraId="3E92A334" w14:textId="77777777" w:rsidR="002660AA" w:rsidRDefault="009B260F">
      <w:r>
        <w:t>Funkcija 109 - Aktivnosti socijalne zaštite koje nisu drugdje svrstane u 2025. godini ostvarena je u iznosu od 115.704,02 EUR, što predstavlja povećanje od 35,2 % u odnosu na prethodnu godinu. Povećanje rashoda rezultat je većih izdvajanja unutar aktivnosti „Sufinanciranje troškova prijevoza osoba s invaliditetom“ te „Pomoć za ogrjev“.</w:t>
      </w:r>
    </w:p>
    <w:p w14:paraId="1A8BC70D" w14:textId="77777777" w:rsidR="002660AA" w:rsidRDefault="002660AA"/>
    <w:p w14:paraId="7F600A4C" w14:textId="77777777" w:rsidR="002660AA" w:rsidRDefault="009B260F">
      <w:pPr>
        <w:keepNext/>
        <w:spacing w:line="240" w:lineRule="auto"/>
        <w:jc w:val="center"/>
      </w:pPr>
      <w:r>
        <w:rPr>
          <w:b/>
          <w:sz w:val="28"/>
        </w:rPr>
        <w:t>Promjene u vrijednosti i obujmu imovine i obveza</w:t>
      </w:r>
    </w:p>
    <w:p w14:paraId="2277F7E1" w14:textId="77777777" w:rsidR="002660AA" w:rsidRDefault="009B260F">
      <w:pPr>
        <w:keepNext/>
        <w:spacing w:line="240" w:lineRule="auto"/>
        <w:jc w:val="center"/>
      </w:pPr>
      <w:r>
        <w:rPr>
          <w:sz w:val="28"/>
        </w:rPr>
        <w:t>Bilješka 158.</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6144F3ED"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F6D265C"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49659D65"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5A53FCD6"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63179314" w14:textId="77777777" w:rsidR="002660AA" w:rsidRDefault="009B260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1A725157" w14:textId="77777777" w:rsidR="002660AA" w:rsidRDefault="009B260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2EA73FBD" w14:textId="77777777" w:rsidR="002660AA" w:rsidRDefault="009B260F">
            <w:pPr>
              <w:keepNext/>
              <w:keepLines/>
              <w:spacing w:after="0" w:line="240" w:lineRule="auto"/>
              <w:jc w:val="center"/>
            </w:pPr>
            <w:r>
              <w:rPr>
                <w:b/>
                <w:sz w:val="18"/>
              </w:rPr>
              <w:t>Indeks (%)</w:t>
            </w:r>
          </w:p>
        </w:tc>
      </w:tr>
      <w:tr w:rsidR="002660AA" w14:paraId="7DE01EF1" w14:textId="77777777">
        <w:tblPrEx>
          <w:tblCellMar>
            <w:top w:w="0" w:type="dxa"/>
            <w:bottom w:w="0" w:type="dxa"/>
          </w:tblCellMar>
        </w:tblPrEx>
        <w:trPr>
          <w:cantSplit/>
          <w:trHeight w:val="560"/>
        </w:trPr>
        <w:tc>
          <w:tcPr>
            <w:tcW w:w="700" w:type="dxa"/>
            <w:tcMar>
              <w:top w:w="0" w:type="dxa"/>
              <w:bottom w:w="0" w:type="dxa"/>
            </w:tcMar>
            <w:vAlign w:val="center"/>
          </w:tcPr>
          <w:p w14:paraId="2D4EA2C4" w14:textId="77777777" w:rsidR="002660AA" w:rsidRDefault="002660AA">
            <w:pPr>
              <w:keepNext/>
              <w:keepLines/>
              <w:spacing w:after="0" w:line="240" w:lineRule="auto"/>
            </w:pPr>
          </w:p>
        </w:tc>
        <w:tc>
          <w:tcPr>
            <w:tcW w:w="3180" w:type="dxa"/>
            <w:tcMar>
              <w:top w:w="0" w:type="dxa"/>
              <w:bottom w:w="0" w:type="dxa"/>
            </w:tcMar>
            <w:vAlign w:val="center"/>
          </w:tcPr>
          <w:p w14:paraId="3CC7009C" w14:textId="77777777" w:rsidR="002660AA" w:rsidRDefault="009B260F">
            <w:pPr>
              <w:keepNext/>
              <w:keepLines/>
              <w:spacing w:after="0" w:line="240" w:lineRule="auto"/>
            </w:pPr>
            <w:r>
              <w:rPr>
                <w:sz w:val="18"/>
              </w:rPr>
              <w:t>Neproizvedena dugotrajna imovina</w:t>
            </w:r>
          </w:p>
        </w:tc>
        <w:tc>
          <w:tcPr>
            <w:tcW w:w="700" w:type="dxa"/>
            <w:tcMar>
              <w:top w:w="0" w:type="dxa"/>
              <w:bottom w:w="0" w:type="dxa"/>
            </w:tcMar>
            <w:vAlign w:val="center"/>
          </w:tcPr>
          <w:p w14:paraId="396F3E7C" w14:textId="77777777" w:rsidR="002660AA" w:rsidRDefault="009B260F">
            <w:pPr>
              <w:keepNext/>
              <w:keepLines/>
              <w:spacing w:after="0" w:line="240" w:lineRule="auto"/>
            </w:pPr>
            <w:r>
              <w:rPr>
                <w:sz w:val="18"/>
              </w:rPr>
              <w:t>P002</w:t>
            </w:r>
          </w:p>
        </w:tc>
        <w:tc>
          <w:tcPr>
            <w:tcW w:w="1860" w:type="dxa"/>
            <w:tcMar>
              <w:top w:w="0" w:type="dxa"/>
              <w:bottom w:w="0" w:type="dxa"/>
            </w:tcMar>
            <w:vAlign w:val="center"/>
          </w:tcPr>
          <w:p w14:paraId="7BBCDE67"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17AD20F0" w14:textId="77777777" w:rsidR="002660AA" w:rsidRDefault="009B260F">
            <w:pPr>
              <w:keepNext/>
              <w:keepLines/>
              <w:spacing w:after="0" w:line="240" w:lineRule="auto"/>
              <w:jc w:val="right"/>
            </w:pPr>
            <w:r>
              <w:rPr>
                <w:sz w:val="18"/>
              </w:rPr>
              <w:t>10.817,20</w:t>
            </w:r>
          </w:p>
        </w:tc>
        <w:tc>
          <w:tcPr>
            <w:tcW w:w="700" w:type="dxa"/>
            <w:tcMar>
              <w:top w:w="0" w:type="dxa"/>
              <w:bottom w:w="0" w:type="dxa"/>
            </w:tcMar>
            <w:vAlign w:val="center"/>
          </w:tcPr>
          <w:p w14:paraId="67D5530E" w14:textId="77777777" w:rsidR="002660AA" w:rsidRDefault="009B260F">
            <w:pPr>
              <w:keepNext/>
              <w:keepLines/>
              <w:spacing w:after="0" w:line="240" w:lineRule="auto"/>
              <w:jc w:val="right"/>
            </w:pPr>
            <w:r>
              <w:rPr>
                <w:sz w:val="18"/>
              </w:rPr>
              <w:t>-</w:t>
            </w:r>
          </w:p>
        </w:tc>
      </w:tr>
    </w:tbl>
    <w:p w14:paraId="1A10021B" w14:textId="77777777" w:rsidR="002660AA" w:rsidRDefault="002660AA">
      <w:pPr>
        <w:spacing w:after="0"/>
      </w:pPr>
    </w:p>
    <w:p w14:paraId="732D97B4" w14:textId="77777777" w:rsidR="002660AA" w:rsidRDefault="009B260F">
      <w:r>
        <w:t>Smanjenje knjigovodstvene vrijednosti neproizvedene dugotrajne imovine temeljem ispravka vrijednosti nematerijalne imovine za 2025. godinu</w:t>
      </w:r>
    </w:p>
    <w:p w14:paraId="3721C2B0" w14:textId="77777777" w:rsidR="002660AA" w:rsidRDefault="002660AA"/>
    <w:p w14:paraId="25369BCD" w14:textId="77777777" w:rsidR="002660AA" w:rsidRDefault="009B260F">
      <w:pPr>
        <w:keepNext/>
        <w:spacing w:line="240" w:lineRule="auto"/>
        <w:jc w:val="center"/>
      </w:pPr>
      <w:r>
        <w:rPr>
          <w:sz w:val="28"/>
        </w:rPr>
        <w:t>Bilješka 159.</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37CF2E56"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B03D45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CF6421C"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E52F59A"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FA4EF16" w14:textId="77777777" w:rsidR="002660AA" w:rsidRDefault="009B260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3574E62D" w14:textId="77777777" w:rsidR="002660AA" w:rsidRDefault="009B260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60AF1540" w14:textId="77777777" w:rsidR="002660AA" w:rsidRDefault="009B260F">
            <w:pPr>
              <w:keepNext/>
              <w:keepLines/>
              <w:spacing w:after="0" w:line="240" w:lineRule="auto"/>
              <w:jc w:val="center"/>
            </w:pPr>
            <w:r>
              <w:rPr>
                <w:b/>
                <w:sz w:val="18"/>
              </w:rPr>
              <w:t>Indeks (%)</w:t>
            </w:r>
          </w:p>
        </w:tc>
      </w:tr>
      <w:tr w:rsidR="002660AA" w14:paraId="19176A4E" w14:textId="77777777">
        <w:tblPrEx>
          <w:tblCellMar>
            <w:top w:w="0" w:type="dxa"/>
            <w:bottom w:w="0" w:type="dxa"/>
          </w:tblCellMar>
        </w:tblPrEx>
        <w:trPr>
          <w:cantSplit/>
          <w:trHeight w:val="560"/>
        </w:trPr>
        <w:tc>
          <w:tcPr>
            <w:tcW w:w="700" w:type="dxa"/>
            <w:tcMar>
              <w:top w:w="0" w:type="dxa"/>
              <w:bottom w:w="0" w:type="dxa"/>
            </w:tcMar>
            <w:vAlign w:val="center"/>
          </w:tcPr>
          <w:p w14:paraId="22317D46" w14:textId="77777777" w:rsidR="002660AA" w:rsidRDefault="002660AA">
            <w:pPr>
              <w:keepNext/>
              <w:keepLines/>
              <w:spacing w:after="0" w:line="240" w:lineRule="auto"/>
            </w:pPr>
          </w:p>
        </w:tc>
        <w:tc>
          <w:tcPr>
            <w:tcW w:w="3180" w:type="dxa"/>
            <w:tcMar>
              <w:top w:w="0" w:type="dxa"/>
              <w:bottom w:w="0" w:type="dxa"/>
            </w:tcMar>
            <w:vAlign w:val="center"/>
          </w:tcPr>
          <w:p w14:paraId="5F9FACB6" w14:textId="77777777" w:rsidR="002660AA" w:rsidRDefault="009B260F">
            <w:pPr>
              <w:keepNext/>
              <w:keepLines/>
              <w:spacing w:after="0" w:line="240" w:lineRule="auto"/>
            </w:pPr>
            <w:r>
              <w:rPr>
                <w:sz w:val="18"/>
              </w:rPr>
              <w:t>Proizvedena dugotrajna imovina</w:t>
            </w:r>
          </w:p>
        </w:tc>
        <w:tc>
          <w:tcPr>
            <w:tcW w:w="700" w:type="dxa"/>
            <w:tcMar>
              <w:top w:w="0" w:type="dxa"/>
              <w:bottom w:w="0" w:type="dxa"/>
            </w:tcMar>
            <w:vAlign w:val="center"/>
          </w:tcPr>
          <w:p w14:paraId="0BB1AA7F" w14:textId="77777777" w:rsidR="002660AA" w:rsidRDefault="009B260F">
            <w:pPr>
              <w:keepNext/>
              <w:keepLines/>
              <w:spacing w:after="0" w:line="240" w:lineRule="auto"/>
            </w:pPr>
            <w:r>
              <w:rPr>
                <w:sz w:val="18"/>
              </w:rPr>
              <w:t>P003</w:t>
            </w:r>
          </w:p>
        </w:tc>
        <w:tc>
          <w:tcPr>
            <w:tcW w:w="1860" w:type="dxa"/>
            <w:tcMar>
              <w:top w:w="0" w:type="dxa"/>
              <w:bottom w:w="0" w:type="dxa"/>
            </w:tcMar>
            <w:vAlign w:val="center"/>
          </w:tcPr>
          <w:p w14:paraId="39E67E96"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5A932006" w14:textId="77777777" w:rsidR="002660AA" w:rsidRDefault="009B260F">
            <w:pPr>
              <w:keepNext/>
              <w:keepLines/>
              <w:spacing w:after="0" w:line="240" w:lineRule="auto"/>
              <w:jc w:val="right"/>
            </w:pPr>
            <w:r>
              <w:rPr>
                <w:sz w:val="18"/>
              </w:rPr>
              <w:t>4.347.876,33</w:t>
            </w:r>
          </w:p>
        </w:tc>
        <w:tc>
          <w:tcPr>
            <w:tcW w:w="700" w:type="dxa"/>
            <w:tcMar>
              <w:top w:w="0" w:type="dxa"/>
              <w:bottom w:w="0" w:type="dxa"/>
            </w:tcMar>
            <w:vAlign w:val="center"/>
          </w:tcPr>
          <w:p w14:paraId="594076B9" w14:textId="77777777" w:rsidR="002660AA" w:rsidRDefault="009B260F">
            <w:pPr>
              <w:keepNext/>
              <w:keepLines/>
              <w:spacing w:after="0" w:line="240" w:lineRule="auto"/>
              <w:jc w:val="right"/>
            </w:pPr>
            <w:r>
              <w:rPr>
                <w:sz w:val="18"/>
              </w:rPr>
              <w:t>-</w:t>
            </w:r>
          </w:p>
        </w:tc>
      </w:tr>
    </w:tbl>
    <w:p w14:paraId="3255F6AC" w14:textId="77777777" w:rsidR="002660AA" w:rsidRDefault="002660AA">
      <w:pPr>
        <w:spacing w:after="0"/>
      </w:pPr>
    </w:p>
    <w:p w14:paraId="26E4F123" w14:textId="77777777" w:rsidR="002660AA" w:rsidRDefault="009B260F">
      <w:r>
        <w:t>Smanjenje knjigovodstvene vrijednosti proizvedene dugotrajne imovina temeljem ispravka vrijednosti građevinskih objekata za 2025. godinu</w:t>
      </w:r>
    </w:p>
    <w:p w14:paraId="38039E96" w14:textId="77777777" w:rsidR="002660AA" w:rsidRDefault="002660AA"/>
    <w:p w14:paraId="7DE7B648" w14:textId="77777777" w:rsidR="002660AA" w:rsidRDefault="009B260F">
      <w:pPr>
        <w:keepNext/>
        <w:spacing w:line="240" w:lineRule="auto"/>
        <w:jc w:val="center"/>
      </w:pPr>
      <w:r>
        <w:rPr>
          <w:sz w:val="28"/>
        </w:rPr>
        <w:t>Bilješka 160.</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22A43788"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3D48E789"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30E74484"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333C5C50"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2DAE332B" w14:textId="77777777" w:rsidR="002660AA" w:rsidRDefault="009B260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0EEDC4C0" w14:textId="77777777" w:rsidR="002660AA" w:rsidRDefault="009B260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52A1C234" w14:textId="77777777" w:rsidR="002660AA" w:rsidRDefault="009B260F">
            <w:pPr>
              <w:keepNext/>
              <w:keepLines/>
              <w:spacing w:after="0" w:line="240" w:lineRule="auto"/>
              <w:jc w:val="center"/>
            </w:pPr>
            <w:r>
              <w:rPr>
                <w:b/>
                <w:sz w:val="18"/>
              </w:rPr>
              <w:t>Indeks (%)</w:t>
            </w:r>
          </w:p>
        </w:tc>
      </w:tr>
      <w:tr w:rsidR="002660AA" w14:paraId="34A6FD4B" w14:textId="77777777">
        <w:tblPrEx>
          <w:tblCellMar>
            <w:top w:w="0" w:type="dxa"/>
            <w:bottom w:w="0" w:type="dxa"/>
          </w:tblCellMar>
        </w:tblPrEx>
        <w:trPr>
          <w:cantSplit/>
          <w:trHeight w:val="560"/>
        </w:trPr>
        <w:tc>
          <w:tcPr>
            <w:tcW w:w="700" w:type="dxa"/>
            <w:tcMar>
              <w:top w:w="0" w:type="dxa"/>
              <w:bottom w:w="0" w:type="dxa"/>
            </w:tcMar>
            <w:vAlign w:val="center"/>
          </w:tcPr>
          <w:p w14:paraId="10F332CD" w14:textId="77777777" w:rsidR="002660AA" w:rsidRDefault="002660AA">
            <w:pPr>
              <w:keepNext/>
              <w:keepLines/>
              <w:spacing w:after="0" w:line="240" w:lineRule="auto"/>
            </w:pPr>
          </w:p>
        </w:tc>
        <w:tc>
          <w:tcPr>
            <w:tcW w:w="3180" w:type="dxa"/>
            <w:tcMar>
              <w:top w:w="0" w:type="dxa"/>
              <w:bottom w:w="0" w:type="dxa"/>
            </w:tcMar>
            <w:vAlign w:val="center"/>
          </w:tcPr>
          <w:p w14:paraId="5CF0A682" w14:textId="77777777" w:rsidR="002660AA" w:rsidRDefault="009B260F">
            <w:pPr>
              <w:keepNext/>
              <w:keepLines/>
              <w:spacing w:after="0" w:line="240" w:lineRule="auto"/>
            </w:pPr>
            <w:r>
              <w:rPr>
                <w:sz w:val="18"/>
              </w:rPr>
              <w:t>Proizvedena dugotrajna imovina</w:t>
            </w:r>
          </w:p>
        </w:tc>
        <w:tc>
          <w:tcPr>
            <w:tcW w:w="700" w:type="dxa"/>
            <w:tcMar>
              <w:top w:w="0" w:type="dxa"/>
              <w:bottom w:w="0" w:type="dxa"/>
            </w:tcMar>
            <w:vAlign w:val="center"/>
          </w:tcPr>
          <w:p w14:paraId="1730A05F" w14:textId="77777777" w:rsidR="002660AA" w:rsidRDefault="009B260F">
            <w:pPr>
              <w:keepNext/>
              <w:keepLines/>
              <w:spacing w:after="0" w:line="240" w:lineRule="auto"/>
            </w:pPr>
            <w:r>
              <w:rPr>
                <w:sz w:val="18"/>
              </w:rPr>
              <w:t>P018</w:t>
            </w:r>
          </w:p>
        </w:tc>
        <w:tc>
          <w:tcPr>
            <w:tcW w:w="1860" w:type="dxa"/>
            <w:tcMar>
              <w:top w:w="0" w:type="dxa"/>
              <w:bottom w:w="0" w:type="dxa"/>
            </w:tcMar>
            <w:vAlign w:val="center"/>
          </w:tcPr>
          <w:p w14:paraId="3F851981"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70303E28" w14:textId="77777777" w:rsidR="002660AA" w:rsidRDefault="009B260F">
            <w:pPr>
              <w:keepNext/>
              <w:keepLines/>
              <w:spacing w:after="0" w:line="240" w:lineRule="auto"/>
              <w:jc w:val="right"/>
            </w:pPr>
            <w:r>
              <w:rPr>
                <w:sz w:val="18"/>
              </w:rPr>
              <w:t>215.815,28</w:t>
            </w:r>
          </w:p>
        </w:tc>
        <w:tc>
          <w:tcPr>
            <w:tcW w:w="700" w:type="dxa"/>
            <w:tcMar>
              <w:top w:w="0" w:type="dxa"/>
              <w:bottom w:w="0" w:type="dxa"/>
            </w:tcMar>
            <w:vAlign w:val="center"/>
          </w:tcPr>
          <w:p w14:paraId="05CD6BA3" w14:textId="77777777" w:rsidR="002660AA" w:rsidRDefault="009B260F">
            <w:pPr>
              <w:keepNext/>
              <w:keepLines/>
              <w:spacing w:after="0" w:line="240" w:lineRule="auto"/>
              <w:jc w:val="right"/>
            </w:pPr>
            <w:r>
              <w:rPr>
                <w:sz w:val="18"/>
              </w:rPr>
              <w:t>-</w:t>
            </w:r>
          </w:p>
        </w:tc>
      </w:tr>
    </w:tbl>
    <w:p w14:paraId="054FFF1D" w14:textId="77777777" w:rsidR="002660AA" w:rsidRDefault="002660AA">
      <w:pPr>
        <w:spacing w:after="0"/>
      </w:pPr>
    </w:p>
    <w:p w14:paraId="68FABF58" w14:textId="77777777" w:rsidR="002660AA" w:rsidRDefault="009B260F">
      <w:r>
        <w:t>Smanjenje proizvedene dugotrajne imovine odnosi se na prijenos imovine na proračunskog korisnika u iznosu knjigovodstvene vrijednosti.</w:t>
      </w:r>
    </w:p>
    <w:p w14:paraId="768B7B91" w14:textId="77777777" w:rsidR="002660AA" w:rsidRDefault="002660AA"/>
    <w:p w14:paraId="60105964" w14:textId="77777777" w:rsidR="002660AA" w:rsidRDefault="009B260F">
      <w:pPr>
        <w:keepNext/>
        <w:spacing w:line="240" w:lineRule="auto"/>
        <w:jc w:val="center"/>
      </w:pPr>
      <w:r>
        <w:rPr>
          <w:sz w:val="28"/>
        </w:rPr>
        <w:t>Bilješka 161.</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700"/>
        <w:gridCol w:w="3180"/>
        <w:gridCol w:w="700"/>
        <w:gridCol w:w="1860"/>
        <w:gridCol w:w="1860"/>
        <w:gridCol w:w="700"/>
      </w:tblGrid>
      <w:tr w:rsidR="002660AA" w14:paraId="01228AA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6E424AEF"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0041AB77"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725B926D"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3E0D4128" w14:textId="77777777" w:rsidR="002660AA" w:rsidRDefault="009B260F">
            <w:pPr>
              <w:keepNext/>
              <w:keepLines/>
              <w:spacing w:after="0" w:line="240" w:lineRule="auto"/>
              <w:jc w:val="center"/>
            </w:pPr>
            <w:r>
              <w:rPr>
                <w:b/>
                <w:sz w:val="18"/>
              </w:rPr>
              <w:t>Iznos povećanja</w:t>
            </w:r>
          </w:p>
        </w:tc>
        <w:tc>
          <w:tcPr>
            <w:tcW w:w="1860" w:type="dxa"/>
            <w:shd w:val="clear" w:color="auto" w:fill="E7F0F9"/>
            <w:tcMar>
              <w:top w:w="0" w:type="dxa"/>
              <w:bottom w:w="0" w:type="dxa"/>
            </w:tcMar>
            <w:vAlign w:val="center"/>
          </w:tcPr>
          <w:p w14:paraId="1D89706D" w14:textId="77777777" w:rsidR="002660AA" w:rsidRDefault="009B260F">
            <w:pPr>
              <w:keepNext/>
              <w:keepLines/>
              <w:spacing w:after="0" w:line="240" w:lineRule="auto"/>
              <w:jc w:val="center"/>
            </w:pPr>
            <w:r>
              <w:rPr>
                <w:b/>
                <w:sz w:val="18"/>
              </w:rPr>
              <w:t>Iznos smanjenja</w:t>
            </w:r>
          </w:p>
        </w:tc>
        <w:tc>
          <w:tcPr>
            <w:tcW w:w="700" w:type="dxa"/>
            <w:shd w:val="clear" w:color="auto" w:fill="E7F0F9"/>
            <w:tcMar>
              <w:top w:w="0" w:type="dxa"/>
              <w:bottom w:w="0" w:type="dxa"/>
            </w:tcMar>
            <w:vAlign w:val="center"/>
          </w:tcPr>
          <w:p w14:paraId="3CAAD7B8" w14:textId="77777777" w:rsidR="002660AA" w:rsidRDefault="009B260F">
            <w:pPr>
              <w:keepNext/>
              <w:keepLines/>
              <w:spacing w:after="0" w:line="240" w:lineRule="auto"/>
              <w:jc w:val="center"/>
            </w:pPr>
            <w:r>
              <w:rPr>
                <w:b/>
                <w:sz w:val="18"/>
              </w:rPr>
              <w:t>Indeks (%)</w:t>
            </w:r>
          </w:p>
        </w:tc>
      </w:tr>
      <w:tr w:rsidR="002660AA" w14:paraId="632BACC5" w14:textId="77777777">
        <w:tblPrEx>
          <w:tblCellMar>
            <w:top w:w="0" w:type="dxa"/>
            <w:bottom w:w="0" w:type="dxa"/>
          </w:tblCellMar>
        </w:tblPrEx>
        <w:trPr>
          <w:cantSplit/>
          <w:trHeight w:val="560"/>
        </w:trPr>
        <w:tc>
          <w:tcPr>
            <w:tcW w:w="700" w:type="dxa"/>
            <w:tcMar>
              <w:top w:w="0" w:type="dxa"/>
              <w:bottom w:w="0" w:type="dxa"/>
            </w:tcMar>
            <w:vAlign w:val="center"/>
          </w:tcPr>
          <w:p w14:paraId="252F1113" w14:textId="77777777" w:rsidR="002660AA" w:rsidRDefault="002660AA">
            <w:pPr>
              <w:keepNext/>
              <w:keepLines/>
              <w:spacing w:after="0" w:line="240" w:lineRule="auto"/>
            </w:pPr>
          </w:p>
        </w:tc>
        <w:tc>
          <w:tcPr>
            <w:tcW w:w="3180" w:type="dxa"/>
            <w:tcMar>
              <w:top w:w="0" w:type="dxa"/>
              <w:bottom w:w="0" w:type="dxa"/>
            </w:tcMar>
            <w:vAlign w:val="center"/>
          </w:tcPr>
          <w:p w14:paraId="19AED3E8" w14:textId="77777777" w:rsidR="002660AA" w:rsidRDefault="009B260F">
            <w:pPr>
              <w:keepNext/>
              <w:keepLines/>
              <w:spacing w:after="0" w:line="240" w:lineRule="auto"/>
            </w:pPr>
            <w:r>
              <w:rPr>
                <w:sz w:val="18"/>
              </w:rPr>
              <w:t>Promjene u obujmu financijske imovine (šifre P024 do P030)</w:t>
            </w:r>
          </w:p>
        </w:tc>
        <w:tc>
          <w:tcPr>
            <w:tcW w:w="700" w:type="dxa"/>
            <w:tcMar>
              <w:top w:w="0" w:type="dxa"/>
              <w:bottom w:w="0" w:type="dxa"/>
            </w:tcMar>
            <w:vAlign w:val="center"/>
          </w:tcPr>
          <w:p w14:paraId="63042DA1" w14:textId="77777777" w:rsidR="002660AA" w:rsidRDefault="009B260F">
            <w:pPr>
              <w:keepNext/>
              <w:keepLines/>
              <w:spacing w:after="0" w:line="240" w:lineRule="auto"/>
            </w:pPr>
            <w:r>
              <w:rPr>
                <w:sz w:val="18"/>
              </w:rPr>
              <w:t>P023</w:t>
            </w:r>
          </w:p>
        </w:tc>
        <w:tc>
          <w:tcPr>
            <w:tcW w:w="1860" w:type="dxa"/>
            <w:tcMar>
              <w:top w:w="0" w:type="dxa"/>
              <w:bottom w:w="0" w:type="dxa"/>
            </w:tcMar>
            <w:vAlign w:val="center"/>
          </w:tcPr>
          <w:p w14:paraId="3257607A" w14:textId="77777777" w:rsidR="002660AA" w:rsidRDefault="009B260F">
            <w:pPr>
              <w:keepNext/>
              <w:keepLines/>
              <w:spacing w:after="0" w:line="240" w:lineRule="auto"/>
              <w:jc w:val="right"/>
            </w:pPr>
            <w:r>
              <w:rPr>
                <w:sz w:val="18"/>
              </w:rPr>
              <w:t>0,00</w:t>
            </w:r>
          </w:p>
        </w:tc>
        <w:tc>
          <w:tcPr>
            <w:tcW w:w="1860" w:type="dxa"/>
            <w:tcMar>
              <w:top w:w="0" w:type="dxa"/>
              <w:bottom w:w="0" w:type="dxa"/>
            </w:tcMar>
            <w:vAlign w:val="center"/>
          </w:tcPr>
          <w:p w14:paraId="5D1D0887" w14:textId="77777777" w:rsidR="002660AA" w:rsidRDefault="009B260F">
            <w:pPr>
              <w:keepNext/>
              <w:keepLines/>
              <w:spacing w:after="0" w:line="240" w:lineRule="auto"/>
              <w:jc w:val="right"/>
            </w:pPr>
            <w:r>
              <w:rPr>
                <w:sz w:val="18"/>
              </w:rPr>
              <w:t>121.106,38</w:t>
            </w:r>
          </w:p>
        </w:tc>
        <w:tc>
          <w:tcPr>
            <w:tcW w:w="700" w:type="dxa"/>
            <w:tcMar>
              <w:top w:w="0" w:type="dxa"/>
              <w:bottom w:w="0" w:type="dxa"/>
            </w:tcMar>
            <w:vAlign w:val="center"/>
          </w:tcPr>
          <w:p w14:paraId="3DDD0593" w14:textId="77777777" w:rsidR="002660AA" w:rsidRDefault="009B260F">
            <w:pPr>
              <w:keepNext/>
              <w:keepLines/>
              <w:spacing w:after="0" w:line="240" w:lineRule="auto"/>
              <w:jc w:val="right"/>
            </w:pPr>
            <w:r>
              <w:rPr>
                <w:sz w:val="18"/>
              </w:rPr>
              <w:t>-</w:t>
            </w:r>
          </w:p>
        </w:tc>
      </w:tr>
    </w:tbl>
    <w:p w14:paraId="1D8FEFA3" w14:textId="77777777" w:rsidR="002660AA" w:rsidRDefault="002660AA">
      <w:pPr>
        <w:spacing w:after="0"/>
      </w:pPr>
    </w:p>
    <w:p w14:paraId="35E91389" w14:textId="77777777" w:rsidR="002660AA" w:rsidRDefault="009B260F">
      <w:r>
        <w:t>Promjene u obujmu financijske imovine bilježe smanjenje zbog otpisa potraživanja po inventuri i isknjiženja potraživanja zbog stečaja.</w:t>
      </w:r>
    </w:p>
    <w:p w14:paraId="499F4802" w14:textId="77777777" w:rsidR="002660AA" w:rsidRDefault="002660AA"/>
    <w:p w14:paraId="7E9A5B60" w14:textId="77777777" w:rsidR="002660AA" w:rsidRDefault="009B260F">
      <w:pPr>
        <w:keepNext/>
        <w:spacing w:line="240" w:lineRule="auto"/>
        <w:jc w:val="center"/>
      </w:pPr>
      <w:r>
        <w:rPr>
          <w:b/>
          <w:sz w:val="28"/>
        </w:rPr>
        <w:t>Izvještaj o obvezama</w:t>
      </w:r>
    </w:p>
    <w:p w14:paraId="02B06C3D" w14:textId="77777777" w:rsidR="002660AA" w:rsidRDefault="009B260F">
      <w:pPr>
        <w:keepNext/>
        <w:spacing w:line="240" w:lineRule="auto"/>
        <w:jc w:val="center"/>
      </w:pPr>
      <w:r>
        <w:rPr>
          <w:sz w:val="28"/>
        </w:rPr>
        <w:t>Bilješka 162.</w:t>
      </w:r>
    </w:p>
    <w:tbl>
      <w:tblPr>
        <w:tblW w:w="9000" w:type="dxa"/>
        <w:tblInd w:w="-15" w:type="dxa"/>
        <w:tblBorders>
          <w:top w:val="single" w:sz="12" w:space="0" w:color="BABABA"/>
          <w:left w:val="single" w:sz="12" w:space="0" w:color="BABABA"/>
          <w:bottom w:val="single" w:sz="12" w:space="0" w:color="BABABA"/>
          <w:right w:val="single" w:sz="12" w:space="0" w:color="BABABA"/>
          <w:insideH w:val="single" w:sz="8" w:space="0" w:color="BABABA"/>
          <w:insideV w:val="single" w:sz="8" w:space="0" w:color="DADADA"/>
        </w:tblBorders>
        <w:tblLayout w:type="fixed"/>
        <w:tblCellMar>
          <w:left w:w="40" w:type="dxa"/>
          <w:right w:w="40" w:type="dxa"/>
        </w:tblCellMar>
        <w:tblLook w:val="0000" w:firstRow="0" w:lastRow="0" w:firstColumn="0" w:lastColumn="0" w:noHBand="0" w:noVBand="0"/>
      </w:tblPr>
      <w:tblGrid>
        <w:gridCol w:w="883"/>
        <w:gridCol w:w="4008"/>
        <w:gridCol w:w="882"/>
        <w:gridCol w:w="2345"/>
        <w:gridCol w:w="882"/>
      </w:tblGrid>
      <w:tr w:rsidR="002660AA" w14:paraId="3CBA514F" w14:textId="77777777">
        <w:tblPrEx>
          <w:tblCellMar>
            <w:top w:w="0" w:type="dxa"/>
            <w:bottom w:w="0" w:type="dxa"/>
          </w:tblCellMar>
        </w:tblPrEx>
        <w:trPr>
          <w:cantSplit/>
        </w:trPr>
        <w:tc>
          <w:tcPr>
            <w:tcW w:w="700" w:type="dxa"/>
            <w:shd w:val="clear" w:color="auto" w:fill="E7F0F9"/>
            <w:tcMar>
              <w:top w:w="0" w:type="dxa"/>
              <w:bottom w:w="0" w:type="dxa"/>
            </w:tcMar>
            <w:vAlign w:val="center"/>
          </w:tcPr>
          <w:p w14:paraId="4535051A" w14:textId="77777777" w:rsidR="002660AA" w:rsidRDefault="009B260F">
            <w:pPr>
              <w:keepNext/>
              <w:keepLines/>
              <w:spacing w:after="0" w:line="240" w:lineRule="auto"/>
              <w:jc w:val="center"/>
            </w:pPr>
            <w:r>
              <w:rPr>
                <w:b/>
                <w:sz w:val="18"/>
              </w:rPr>
              <w:t>Račun iz rač. plana</w:t>
            </w:r>
          </w:p>
        </w:tc>
        <w:tc>
          <w:tcPr>
            <w:tcW w:w="3180" w:type="dxa"/>
            <w:shd w:val="clear" w:color="auto" w:fill="E7F0F9"/>
            <w:tcMar>
              <w:top w:w="0" w:type="dxa"/>
              <w:bottom w:w="0" w:type="dxa"/>
            </w:tcMar>
            <w:vAlign w:val="center"/>
          </w:tcPr>
          <w:p w14:paraId="1E117EFB" w14:textId="77777777" w:rsidR="002660AA" w:rsidRDefault="009B260F">
            <w:pPr>
              <w:keepNext/>
              <w:keepLines/>
              <w:spacing w:after="0" w:line="240" w:lineRule="auto"/>
              <w:jc w:val="center"/>
            </w:pPr>
            <w:r>
              <w:rPr>
                <w:b/>
                <w:sz w:val="18"/>
              </w:rPr>
              <w:t>Opis stavke</w:t>
            </w:r>
          </w:p>
        </w:tc>
        <w:tc>
          <w:tcPr>
            <w:tcW w:w="700" w:type="dxa"/>
            <w:shd w:val="clear" w:color="auto" w:fill="E7F0F9"/>
            <w:tcMar>
              <w:top w:w="0" w:type="dxa"/>
              <w:bottom w:w="0" w:type="dxa"/>
            </w:tcMar>
            <w:vAlign w:val="center"/>
          </w:tcPr>
          <w:p w14:paraId="20412712" w14:textId="77777777" w:rsidR="002660AA" w:rsidRDefault="009B260F">
            <w:pPr>
              <w:keepNext/>
              <w:keepLines/>
              <w:spacing w:after="0" w:line="240" w:lineRule="auto"/>
              <w:jc w:val="center"/>
            </w:pPr>
            <w:r>
              <w:rPr>
                <w:b/>
                <w:sz w:val="18"/>
              </w:rPr>
              <w:t>Šifra</w:t>
            </w:r>
          </w:p>
        </w:tc>
        <w:tc>
          <w:tcPr>
            <w:tcW w:w="1860" w:type="dxa"/>
            <w:shd w:val="clear" w:color="auto" w:fill="E7F0F9"/>
            <w:tcMar>
              <w:top w:w="0" w:type="dxa"/>
              <w:bottom w:w="0" w:type="dxa"/>
            </w:tcMar>
            <w:vAlign w:val="center"/>
          </w:tcPr>
          <w:p w14:paraId="7E84A6BE" w14:textId="77777777" w:rsidR="002660AA" w:rsidRDefault="009B260F">
            <w:pPr>
              <w:keepNext/>
              <w:keepLines/>
              <w:spacing w:after="0" w:line="240" w:lineRule="auto"/>
              <w:jc w:val="center"/>
            </w:pPr>
            <w:r>
              <w:rPr>
                <w:b/>
                <w:sz w:val="18"/>
              </w:rPr>
              <w:t>Iznos</w:t>
            </w:r>
          </w:p>
        </w:tc>
        <w:tc>
          <w:tcPr>
            <w:tcW w:w="700" w:type="dxa"/>
            <w:shd w:val="clear" w:color="auto" w:fill="E7F0F9"/>
            <w:tcMar>
              <w:top w:w="0" w:type="dxa"/>
              <w:bottom w:w="0" w:type="dxa"/>
            </w:tcMar>
            <w:vAlign w:val="center"/>
          </w:tcPr>
          <w:p w14:paraId="41FDB29F" w14:textId="77777777" w:rsidR="002660AA" w:rsidRDefault="009B260F">
            <w:pPr>
              <w:keepNext/>
              <w:keepLines/>
              <w:spacing w:after="0" w:line="240" w:lineRule="auto"/>
              <w:jc w:val="center"/>
            </w:pPr>
            <w:r>
              <w:rPr>
                <w:b/>
                <w:sz w:val="18"/>
              </w:rPr>
              <w:t>Indeks (%)</w:t>
            </w:r>
          </w:p>
        </w:tc>
      </w:tr>
      <w:tr w:rsidR="002660AA" w14:paraId="5968892E" w14:textId="77777777">
        <w:tblPrEx>
          <w:tblCellMar>
            <w:top w:w="0" w:type="dxa"/>
            <w:bottom w:w="0" w:type="dxa"/>
          </w:tblCellMar>
        </w:tblPrEx>
        <w:trPr>
          <w:cantSplit/>
          <w:trHeight w:val="560"/>
        </w:trPr>
        <w:tc>
          <w:tcPr>
            <w:tcW w:w="700" w:type="dxa"/>
            <w:tcMar>
              <w:top w:w="0" w:type="dxa"/>
              <w:bottom w:w="0" w:type="dxa"/>
            </w:tcMar>
            <w:vAlign w:val="center"/>
          </w:tcPr>
          <w:p w14:paraId="52CE0B7B" w14:textId="77777777" w:rsidR="002660AA" w:rsidRDefault="002660AA">
            <w:pPr>
              <w:keepNext/>
              <w:keepLines/>
              <w:spacing w:after="0" w:line="240" w:lineRule="auto"/>
            </w:pPr>
          </w:p>
        </w:tc>
        <w:tc>
          <w:tcPr>
            <w:tcW w:w="3180" w:type="dxa"/>
            <w:tcMar>
              <w:top w:w="0" w:type="dxa"/>
              <w:bottom w:w="0" w:type="dxa"/>
            </w:tcMar>
            <w:vAlign w:val="center"/>
          </w:tcPr>
          <w:p w14:paraId="459B47F9" w14:textId="77777777" w:rsidR="002660AA" w:rsidRDefault="009B260F">
            <w:pPr>
              <w:keepNext/>
              <w:keepLines/>
              <w:spacing w:after="0" w:line="240" w:lineRule="auto"/>
            </w:pPr>
            <w:r>
              <w:rPr>
                <w:sz w:val="18"/>
              </w:rPr>
              <w:t>Stanje dospjelih obveza na kraju izvještajnog razdoblja (šifre V008+D23+D24 + 'D dio 25,26' + D27)</w:t>
            </w:r>
          </w:p>
        </w:tc>
        <w:tc>
          <w:tcPr>
            <w:tcW w:w="700" w:type="dxa"/>
            <w:tcMar>
              <w:top w:w="0" w:type="dxa"/>
              <w:bottom w:w="0" w:type="dxa"/>
            </w:tcMar>
            <w:vAlign w:val="center"/>
          </w:tcPr>
          <w:p w14:paraId="7124F093" w14:textId="77777777" w:rsidR="002660AA" w:rsidRDefault="009B260F">
            <w:pPr>
              <w:keepNext/>
              <w:keepLines/>
              <w:spacing w:after="0" w:line="240" w:lineRule="auto"/>
            </w:pPr>
            <w:r>
              <w:rPr>
                <w:sz w:val="18"/>
              </w:rPr>
              <w:t>V007</w:t>
            </w:r>
          </w:p>
        </w:tc>
        <w:tc>
          <w:tcPr>
            <w:tcW w:w="1860" w:type="dxa"/>
            <w:tcMar>
              <w:top w:w="0" w:type="dxa"/>
              <w:bottom w:w="0" w:type="dxa"/>
            </w:tcMar>
            <w:vAlign w:val="center"/>
          </w:tcPr>
          <w:p w14:paraId="312E1E6E" w14:textId="77777777" w:rsidR="002660AA" w:rsidRDefault="009B260F">
            <w:pPr>
              <w:keepNext/>
              <w:keepLines/>
              <w:spacing w:after="0" w:line="240" w:lineRule="auto"/>
              <w:jc w:val="right"/>
            </w:pPr>
            <w:r>
              <w:rPr>
                <w:sz w:val="18"/>
              </w:rPr>
              <w:t>11.213,10</w:t>
            </w:r>
          </w:p>
        </w:tc>
        <w:tc>
          <w:tcPr>
            <w:tcW w:w="700" w:type="dxa"/>
            <w:tcMar>
              <w:top w:w="0" w:type="dxa"/>
              <w:bottom w:w="0" w:type="dxa"/>
            </w:tcMar>
            <w:vAlign w:val="center"/>
          </w:tcPr>
          <w:p w14:paraId="51523282" w14:textId="77777777" w:rsidR="002660AA" w:rsidRDefault="009B260F">
            <w:pPr>
              <w:keepNext/>
              <w:keepLines/>
              <w:spacing w:after="0" w:line="240" w:lineRule="auto"/>
              <w:jc w:val="right"/>
            </w:pPr>
            <w:r>
              <w:rPr>
                <w:sz w:val="18"/>
              </w:rPr>
              <w:t>-</w:t>
            </w:r>
          </w:p>
        </w:tc>
      </w:tr>
    </w:tbl>
    <w:p w14:paraId="1A638F64" w14:textId="77777777" w:rsidR="002660AA" w:rsidRDefault="002660AA">
      <w:pPr>
        <w:spacing w:after="0"/>
      </w:pPr>
    </w:p>
    <w:p w14:paraId="7880B575" w14:textId="77777777" w:rsidR="002660AA" w:rsidRDefault="009B260F">
      <w:r>
        <w:rPr>
          <w:b/>
        </w:rPr>
        <w:t>Ukupne dospjele obveze u iznosu 11.213,10 EUR</w:t>
      </w:r>
      <w:r>
        <w:t>.</w:t>
      </w:r>
    </w:p>
    <w:p w14:paraId="7CBE4A4D" w14:textId="77777777" w:rsidR="002660AA" w:rsidRDefault="009B260F">
      <w:r>
        <w:t xml:space="preserve">  </w:t>
      </w:r>
      <w:r>
        <w:rPr>
          <w:b/>
        </w:rPr>
        <w:t>Dospjele obveze na skupini 23- do 60 dana na dan 31.12.2025., ukupno 4.575,60 EUR</w:t>
      </w:r>
    </w:p>
    <w:p w14:paraId="2B357578" w14:textId="77777777" w:rsidR="002660AA" w:rsidRDefault="009B260F">
      <w:r>
        <w:t>1. HEP ELEKTRA d.o.o, račun 2301004530-251120-0, dani duga 13, iznos 133,90 EUR, (proces odobravanja duži od traženog roka za plaćanje - plaćeno 12.01.26.), 2. GLAS PODRAVINE d.o.o., račun 316/O/01, dani duga 32, iznos 2.812,50 EUR (čeka se njihova ovjera kompenzacije), 3. GLAS PODRAVINE d.o.o., račun 341/O/01, dani duga 2, iznos 787,50 EUR (čeka se njihova ovjera kompenzacije), 4. UGOSTITELJSKI OBRT STEFANO vl. Rus Vladimir, račun 3/1/3-2025, dani duga 24, iznos 841,70 EUR (proces odobravanja duži od traže</w:t>
      </w:r>
      <w:r>
        <w:t>nog roka za plaćanje - plaćeno 23.01.26.),</w:t>
      </w:r>
    </w:p>
    <w:p w14:paraId="3CE83C0F" w14:textId="77777777" w:rsidR="002660AA" w:rsidRDefault="009B260F">
      <w:r>
        <w:rPr>
          <w:b/>
        </w:rPr>
        <w:t>Dospjele obveze na skupini 23- do 180 dana na dan 31.12.2025., ukupno 5.175,00 EUR</w:t>
      </w:r>
    </w:p>
    <w:p w14:paraId="3454DF85" w14:textId="77777777" w:rsidR="002660AA" w:rsidRDefault="009B260F">
      <w:r>
        <w:t>1. GLAS PODRAVINE d.o.o., račun 200/O/01, dani duga 155, iznos 1.125,00 EUR (čeka se njihova ovjera kompenzacije), 2. GLAS PODRAVINE d.o.o., račun 215/O/01, dani duga 124, iznos 1.125,00 EUR (čeka se njihova ovjera kompenzacije), 3. GLAS PODRAVINE d.o.o., račun 234/O/01, dani duga 93, iznos 1.350,00 EUR (čeka se njihova ovjera kompenzacije), 4. GLAS PODRAVINE d.o.o., račun 265/O/01, dani duga 63, iznos 1.575,00 EUR (čeka se njihova ovjera kompenzacije)</w:t>
      </w:r>
    </w:p>
    <w:p w14:paraId="370FC383" w14:textId="77777777" w:rsidR="002660AA" w:rsidRDefault="009B260F">
      <w:r>
        <w:rPr>
          <w:b/>
        </w:rPr>
        <w:t>Dospjele obveze na skupini 23- do 360 dana na dan 31.12.2025., ukupno 1.462,50 EUR</w:t>
      </w:r>
    </w:p>
    <w:p w14:paraId="72CC5C64" w14:textId="77777777" w:rsidR="002660AA" w:rsidRDefault="009B260F">
      <w:r>
        <w:t>1. GLAS PODRAVINE d.o.o., račun 101/O/01, dani duga 215, iznos 450,00 EUR (čeka se njihova ovjera kompenzacije), 2. GLAS PODRAVINE d.o.o., račun 128/O/01, dani duga 213, iznos 337,50 EUR (čeka se njihova ovjera kompenzacije), 3. GLAS PODRAVINE d.o.o., račun 173/O/01, dani duga 185, iznos 675,00 EUR (čeka se njihova ovjera kompenzacije), 4. GLAS PODRAVINE d.o.o., račun 200/O/01, dani duga 63, iznos 1.125,00 EUR (čeka se njihova ovjera kompenzacije).</w:t>
      </w:r>
    </w:p>
    <w:p w14:paraId="2501666F" w14:textId="77777777" w:rsidR="002660AA" w:rsidRDefault="002660AA"/>
    <w:p w14:paraId="41C37EC6" w14:textId="77777777" w:rsidR="002660AA" w:rsidRDefault="009B260F">
      <w:pPr>
        <w:keepNext/>
        <w:spacing w:line="240" w:lineRule="auto"/>
        <w:jc w:val="center"/>
      </w:pPr>
      <w:r>
        <w:rPr>
          <w:sz w:val="28"/>
        </w:rPr>
        <w:t>Bilješka 163.</w:t>
      </w:r>
    </w:p>
    <w:p w14:paraId="03E35297" w14:textId="77777777" w:rsidR="002660AA" w:rsidRDefault="009B260F">
      <w:pPr>
        <w:spacing w:line="240" w:lineRule="auto"/>
        <w:jc w:val="both"/>
      </w:pPr>
      <w:r>
        <w:rPr>
          <w:b/>
        </w:rPr>
        <w:t>EU izvještaj</w:t>
      </w:r>
    </w:p>
    <w:p w14:paraId="42E42A78" w14:textId="77777777" w:rsidR="002660AA" w:rsidRDefault="009B260F">
      <w:r>
        <w:t>Bilješka za EU izvještaj</w:t>
      </w:r>
    </w:p>
    <w:p w14:paraId="463E1F9A" w14:textId="77777777" w:rsidR="002660AA" w:rsidRDefault="009B260F">
      <w:r>
        <w:t xml:space="preserve">Kada govorimo o prihodima </w:t>
      </w:r>
      <w:r>
        <w:rPr>
          <w:b/>
        </w:rPr>
        <w:t>nacionalnog sufinanciranja</w:t>
      </w:r>
      <w:r>
        <w:t xml:space="preserve"> isti se bilježe u iznosu od 73.410,36 EUR i odnose na uplate za projekte Sheme voća i mlijeka koja se provodi u osnovnim školama na području grada kao i na uplatu od Ministarstva znanosti i obrazovanja za nacionalni dio učešće u projektu ODJEK VII. Svi navedeni troškovi iz projekata prebačeni su proračunskim korisnicima preko konta 369. Rashode po prirodnoj vrste troška prikazali su korisnici u svojim EU izvještajima. Konto Obveze za EU predujmove dane iz državnog proračuna biljež</w:t>
      </w:r>
      <w:r>
        <w:t>i stanje od 4.001,23 EUR što predstavlja iznos neiskorištenog predujma (15% ). Potraživanja po ugovorima o dodijeljenim bespovratnim sredstvima iz EU fondova bilježe stanje od 152.292,63 EUR što predstavlja ostatak neiskorištenih sredstava nakon odobrenih ZNS-ova  temeljem Ugovora o dodijeli bespovratnih sredstava projekta.</w:t>
      </w:r>
    </w:p>
    <w:p w14:paraId="584F20E6" w14:textId="77777777" w:rsidR="002660AA" w:rsidRDefault="009B260F">
      <w:r>
        <w:rPr>
          <w:b/>
        </w:rPr>
        <w:t>Izvor 561 EUROPSKI SOCIJALNI FOND PLUS</w:t>
      </w:r>
    </w:p>
    <w:p w14:paraId="6EADFC1B" w14:textId="77777777" w:rsidR="002660AA" w:rsidRDefault="009B260F">
      <w:r>
        <w:t>Bilježi prihode temeljem projekta ODJEK VII. Obrazloženja sheet nacionalnog sufinanciranja mogu se preslikati na iste AOP-a ovog obrasca.</w:t>
      </w:r>
    </w:p>
    <w:p w14:paraId="23AD8EDF" w14:textId="77777777" w:rsidR="002660AA" w:rsidRDefault="009B260F">
      <w:r>
        <w:rPr>
          <w:b/>
        </w:rPr>
        <w:t>Izvor 563 EUROPSKI FOND ZA REGIONALNI RAZVOJ</w:t>
      </w:r>
    </w:p>
    <w:p w14:paraId="544ECC9D" w14:textId="77777777" w:rsidR="002660AA" w:rsidRDefault="009B260F">
      <w:r>
        <w:t>Prihodi se bilježe u iznosu od 106.572,23 EUR i vezani su uz uplate inozemnih EU projekata i ITU tehničke pomoći za Grad Koprivnica. Kapitalne pomoći iz državnog proračuna temeljem prijenosa EU sredstava u iznosu od 8.772,38 EUR odnose se na kapitalne rashode koji su nastali u 2024. godini.</w:t>
      </w:r>
    </w:p>
    <w:p w14:paraId="6E0C8770" w14:textId="77777777" w:rsidR="002660AA" w:rsidRDefault="009B260F">
      <w:r>
        <w:t>Kada govorimo o rashodima poslovanja ovog izvora najveći udio predstavlja knjiženje rashoda za zaposlene koji se jesu ili budu refundirali prihodima u 2025. godini odnosno u 2026. godini.</w:t>
      </w:r>
    </w:p>
    <w:p w14:paraId="71B4BCCF" w14:textId="77777777" w:rsidR="002660AA" w:rsidRDefault="009B260F">
      <w:r>
        <w:t>Na kontu 3813 tekuće donacije iz E sredstava bilježi se transfer Regionalnoj energetskoj  agenciji REA koja je sa gradom provodila projekt OneSun u sklopu kojeg su  postavili fotonaponske čelije na objektima osnovnih škola. Prihod za navedeno ostvaren je u 2024. godini.</w:t>
      </w:r>
    </w:p>
    <w:p w14:paraId="3DBC4B68" w14:textId="77777777" w:rsidR="002660AA" w:rsidRDefault="009B260F">
      <w:r>
        <w:t>Rashodi za nabavu nefinancijske imovine realizirani su iznosu od 3.714.901,60 EUR i to u sklopu projekta   ITU - Znanstveno-inovacijski park Koprivnica. Povrat sredstava očekuje se u drugom kvartalu 2026. godine nakon podnošenja ZNS-ova.</w:t>
      </w:r>
    </w:p>
    <w:p w14:paraId="7BA5B882" w14:textId="77777777" w:rsidR="002660AA" w:rsidRDefault="009B260F">
      <w:r>
        <w:t>Konto Obveze za EU predujmove dane iz državnog proračuna bilježi stanje od 2.087.895,87 EUR što predstavlja 2 uplaćena predujma, 1.412.219,76 EUR za ITU - Znanstveno-inovacijski park Koprivnica te 675.676,11 EUR za  ITU - Unaprjeđenje sustava javnog prijevoza na urbanom području Koprivnica.</w:t>
      </w:r>
    </w:p>
    <w:p w14:paraId="1FA44A5D" w14:textId="77777777" w:rsidR="002660AA" w:rsidRDefault="009B260F">
      <w:r>
        <w:t>Potraživanja po ugovorima o dodijeljenim bespovratnim sredstvima iz EU fondova čini stanje od 7.292.235,17 EUR kojeg čini 4.707.399,22 EUR potraživanja za ITU - Znanstveno-inovacijski park Koprivnica, zatim 2.252.253,73 EUR za ITU - Unaprjeđenje sustava javnog prijevoza na urbanom području Koprivnica, 255.233,70 EUR za ITU Tehničku pomoć te 77.348,52 EUR za projekt CCSI4CCSI.</w:t>
      </w:r>
    </w:p>
    <w:p w14:paraId="7CC5A46D" w14:textId="77777777" w:rsidR="002660AA" w:rsidRDefault="009B260F">
      <w:r>
        <w:rPr>
          <w:b/>
        </w:rPr>
        <w:t>Izvor 565 EUROPSKI POLJORPVREDNI FOND ZA RURALNI RAZVOJ </w:t>
      </w:r>
    </w:p>
    <w:p w14:paraId="4541F736" w14:textId="77777777" w:rsidR="002660AA" w:rsidRDefault="009B260F">
      <w:r>
        <w:t>Grad bilježi samo jedan projekt u sklopu navedenog fonda i to Izvođenje radova na održavanju krovišta, stolarije i podova na Trgu Žarka Dolinara 16 -Zgrada „FUNK“ sufinancirano do strane LAG Izvora. Trošak od 43.562,70  EUR nastao u sklopu projekta odnosi se na prvu privremenu situaciju zamjene krovišta. ZNS će biti potraživan po završetku projekta stoga grad u vanbilančnoj evidenciji ima ukupan iznos od dodijeljenih 118.000,00 EUR.</w:t>
      </w:r>
    </w:p>
    <w:p w14:paraId="0EB5B826" w14:textId="77777777" w:rsidR="002660AA" w:rsidRDefault="009B260F">
      <w:r>
        <w:rPr>
          <w:b/>
        </w:rPr>
        <w:t>Izvor 581 MEHANIZAM ZA OPORAVAK I OTPORNOST – BESPOVRATNA SREDSTVA</w:t>
      </w:r>
    </w:p>
    <w:p w14:paraId="6C664200" w14:textId="77777777" w:rsidR="002660AA" w:rsidRDefault="009B260F">
      <w:r>
        <w:t>Grad je zabilježio 5.147.633,47 EUR prihoda iz navedenog iznosa i to u najvećem dijelu za izgradnju DV Bajer, rekonstrukciju i dogradnju OŠ Braća Radić, zatim projekt obnove Sinagoge, Sortirnice Herešin i Strategije zelene urbane obnove Grada Koprivnice.</w:t>
      </w:r>
    </w:p>
    <w:p w14:paraId="29FEDCAF" w14:textId="77777777" w:rsidR="002660AA" w:rsidRDefault="009B260F">
      <w:r>
        <w:t>Rashodi poslovanja navedenih projekata odnose se uglavnom na intelektualne i osobne usluge.</w:t>
      </w:r>
    </w:p>
    <w:p w14:paraId="3164E198" w14:textId="77777777" w:rsidR="002660AA" w:rsidRDefault="009B260F">
      <w:r>
        <w:t>Kada govorimo o rashodima za nabavu nefinancijske imovine isti se bilježe u iznosu od 8.199.911,14 EUR. DV Bajer je završio u 2025. godini, dok su se ostali projekti prenijeli iz 2025. u 2026. godinu. ZNS za Sortirnicu je podnesen krajem siječnja, za EU OŠ Đuro Ester u listopadu 2025. godine i odobren početkom siječnja 2026. godine kada smo i priznali prihod dobivenog predujma. Za  OŠ Braću Radić ZNS je tek u pripremi.</w:t>
      </w:r>
    </w:p>
    <w:p w14:paraId="062F4AA8" w14:textId="77777777" w:rsidR="002660AA" w:rsidRDefault="009B260F">
      <w:r>
        <w:t>Potraživanja na kontima 16381 i 16382 predstavljaju potraživanja za kapitalne odnosno tekuće rashode iz projekta energetske obnove OŠ Đuro Ester.</w:t>
      </w:r>
    </w:p>
    <w:p w14:paraId="5F4FB89D" w14:textId="77777777" w:rsidR="002660AA" w:rsidRDefault="009B260F">
      <w:r>
        <w:t>Obveze za EU predujmove dane iz državnog proračuna bilježe stanje od 2.852.532,46 EUR kojeg čine 2 dobivena predujma, 312.550,00 EUR za energetsku obnovu OŠ Đuro Ester (priznat u prihod početkom siječnja) te 2.539.982,46 EUR za dogradnju OŠ Braća Radić.</w:t>
      </w:r>
    </w:p>
    <w:p w14:paraId="106A57F9" w14:textId="77777777" w:rsidR="002660AA" w:rsidRDefault="009B260F">
      <w:r>
        <w:t>Potraživanja po ugovorima o dodijeljenim bespovratnim sredstvima iz EU fondova bilježe saldo od 17.423.618,66 EUR i to po projektima kako slijedi:</w:t>
      </w:r>
    </w:p>
    <w:p w14:paraId="5ABDA560" w14:textId="77777777" w:rsidR="002660AA" w:rsidRDefault="009B260F">
      <w:r>
        <w:t>OŠ BRAĆA RADIĆ 10.912.080,81</w:t>
      </w:r>
      <w:r>
        <w:br/>
        <w:t>SINAGOGA 1.066.527,04</w:t>
      </w:r>
      <w:r>
        <w:br/>
        <w:t>MUZEJSKI TRG 1.033.622,84</w:t>
      </w:r>
      <w:r>
        <w:br/>
        <w:t>EO ĐURO ESTER 1.555.008,24</w:t>
      </w:r>
      <w:r>
        <w:br/>
        <w:t>SORTIRNICA HEREŠIN 1.796.089,17</w:t>
      </w:r>
      <w:r>
        <w:br/>
        <w:t>PŠ REKA 840.290,56</w:t>
      </w:r>
      <w:r>
        <w:br/>
        <w:t>EPLANOVI 220.000,00</w:t>
      </w:r>
      <w:r>
        <w:br/>
      </w:r>
      <w:r>
        <w:br/>
        <w:t> </w:t>
      </w:r>
    </w:p>
    <w:p w14:paraId="387E3D60" w14:textId="77777777" w:rsidR="002660AA" w:rsidRDefault="002660AA"/>
    <w:sectPr w:rsidR="002660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0AA"/>
    <w:rsid w:val="002660AA"/>
    <w:rsid w:val="009B260F"/>
    <w:rsid w:val="00DF1B63"/>
    <w:rsid w:val="00EF30F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C1639"/>
  <w15:docId w15:val="{57F9346D-5A0B-407E-85DB-0CBC9CF0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hr-HR" w:eastAsia="hr-HR"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13514</Words>
  <Characters>77034</Characters>
  <Application>Microsoft Office Word</Application>
  <DocSecurity>0</DocSecurity>
  <Lines>641</Lines>
  <Paragraphs>180</Paragraphs>
  <ScaleCrop>false</ScaleCrop>
  <Company/>
  <LinksUpToDate>false</LinksUpToDate>
  <CharactersWithSpaces>90368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 Horvatić Jambor</dc:creator>
  <cp:lastModifiedBy>Ines Horvatić Jambor</cp:lastModifiedBy>
  <cp:revision>2</cp:revision>
  <dcterms:created xsi:type="dcterms:W3CDTF">2026-02-17T14:19:00Z</dcterms:created>
  <dcterms:modified xsi:type="dcterms:W3CDTF">2026-02-17T14:19:00Z</dcterms:modified>
</cp:coreProperties>
</file>